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35BE6" w14:textId="3363E6F1" w:rsidR="00E00C4A" w:rsidRDefault="00AB3888">
      <w:r>
        <w:rPr>
          <w:noProof/>
          <w:lang w:val="en-GB" w:eastAsia="en-GB"/>
        </w:rPr>
        <mc:AlternateContent>
          <mc:Choice Requires="wps">
            <w:drawing>
              <wp:anchor distT="0" distB="0" distL="114300" distR="114300" simplePos="0" relativeHeight="251662336" behindDoc="0" locked="0" layoutInCell="1" allowOverlap="1" wp14:anchorId="724AD854" wp14:editId="360B9B26">
                <wp:simplePos x="0" y="0"/>
                <wp:positionH relativeFrom="margin">
                  <wp:align>right</wp:align>
                </wp:positionH>
                <wp:positionV relativeFrom="paragraph">
                  <wp:posOffset>-682625</wp:posOffset>
                </wp:positionV>
                <wp:extent cx="6062345" cy="1375576"/>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137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7A2A7" w14:textId="77777777" w:rsidR="00E005FA" w:rsidRPr="00AC510B" w:rsidRDefault="00E005FA" w:rsidP="001A11E1">
                            <w:pPr>
                              <w:jc w:val="right"/>
                              <w:rPr>
                                <w:rFonts w:asciiTheme="majorHAnsi" w:eastAsia="Times New Roman" w:hAnsiTheme="majorHAnsi" w:cstheme="majorHAnsi"/>
                                <w:color w:val="007B6C"/>
                                <w:sz w:val="48"/>
                                <w:szCs w:val="48"/>
                                <w:lang w:val="fr-FR" w:eastAsia="pt-PT"/>
                              </w:rPr>
                            </w:pPr>
                            <w:r w:rsidRPr="00AC510B">
                              <w:rPr>
                                <w:rFonts w:asciiTheme="majorHAnsi" w:eastAsia="Times New Roman" w:hAnsiTheme="majorHAnsi" w:cstheme="majorHAnsi"/>
                                <w:color w:val="007B6C"/>
                                <w:sz w:val="48"/>
                                <w:szCs w:val="48"/>
                                <w:lang w:val="fr-FR" w:eastAsia="pt-PT"/>
                              </w:rPr>
                              <w:t xml:space="preserve">EU Emissions Trading System data </w:t>
                            </w:r>
                            <w:proofErr w:type="spellStart"/>
                            <w:r w:rsidRPr="00AC510B">
                              <w:rPr>
                                <w:rFonts w:asciiTheme="majorHAnsi" w:eastAsia="Times New Roman" w:hAnsiTheme="majorHAnsi" w:cstheme="majorHAnsi"/>
                                <w:color w:val="007B6C"/>
                                <w:sz w:val="48"/>
                                <w:szCs w:val="48"/>
                                <w:lang w:val="fr-FR" w:eastAsia="pt-PT"/>
                              </w:rPr>
                              <w:t>viewer</w:t>
                            </w:r>
                            <w:proofErr w:type="spellEnd"/>
                          </w:p>
                          <w:p w14:paraId="0057DC61" w14:textId="77777777" w:rsidR="00E005FA" w:rsidRPr="00AC510B" w:rsidRDefault="00E005FA" w:rsidP="001A11E1">
                            <w:pPr>
                              <w:jc w:val="right"/>
                              <w:rPr>
                                <w:rFonts w:asciiTheme="majorHAnsi" w:eastAsia="Times New Roman" w:hAnsiTheme="majorHAnsi" w:cstheme="majorHAnsi"/>
                                <w:color w:val="007B6C"/>
                                <w:sz w:val="48"/>
                                <w:szCs w:val="48"/>
                                <w:lang w:val="fr-FR" w:eastAsia="pt-PT"/>
                              </w:rPr>
                            </w:pPr>
                            <w:r w:rsidRPr="00AC510B">
                              <w:rPr>
                                <w:rFonts w:asciiTheme="majorHAnsi" w:eastAsia="Times New Roman" w:hAnsiTheme="majorHAnsi" w:cstheme="majorHAnsi"/>
                                <w:color w:val="007B6C"/>
                                <w:sz w:val="48"/>
                                <w:szCs w:val="48"/>
                                <w:lang w:val="fr-FR" w:eastAsia="pt-PT"/>
                              </w:rPr>
                              <w:t>Background note</w:t>
                            </w:r>
                          </w:p>
                          <w:p w14:paraId="20024892" w14:textId="77777777" w:rsidR="00E005FA" w:rsidRPr="00BF1075" w:rsidRDefault="00E005FA" w:rsidP="00AC510B">
                            <w:pPr>
                              <w:jc w:val="cente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AD854" id="_x0000_t202" coordsize="21600,21600" o:spt="202" path="m,l,21600r21600,l21600,xe">
                <v:stroke joinstyle="miter"/>
                <v:path gradientshapeok="t" o:connecttype="rect"/>
              </v:shapetype>
              <v:shape id="Text Box 5" o:spid="_x0000_s1026" type="#_x0000_t202" style="position:absolute;left:0;text-align:left;margin-left:426.15pt;margin-top:-53.75pt;width:477.35pt;height:108.3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" filled="f" stroked="f">
                <v:textbox>
                  <w:txbxContent>
                    <w:p w14:paraId="7BE7A2A7" w14:textId="77777777" w:rsidR="00E005FA" w:rsidRPr="00AC510B" w:rsidRDefault="00E005FA" w:rsidP="001A11E1">
                      <w:pPr>
                        <w:jc w:val="right"/>
                        <w:rPr>
                          <w:rFonts w:asciiTheme="majorHAnsi" w:eastAsia="Times New Roman" w:hAnsiTheme="majorHAnsi" w:cstheme="majorHAnsi"/>
                          <w:color w:val="007B6C"/>
                          <w:sz w:val="48"/>
                          <w:szCs w:val="48"/>
                          <w:lang w:val="fr-FR" w:eastAsia="pt-PT"/>
                        </w:rPr>
                      </w:pPr>
                      <w:r w:rsidRPr="00AC510B">
                        <w:rPr>
                          <w:rFonts w:asciiTheme="majorHAnsi" w:eastAsia="Times New Roman" w:hAnsiTheme="majorHAnsi" w:cstheme="majorHAnsi"/>
                          <w:color w:val="007B6C"/>
                          <w:sz w:val="48"/>
                          <w:szCs w:val="48"/>
                          <w:lang w:val="fr-FR" w:eastAsia="pt-PT"/>
                        </w:rPr>
                        <w:t>EU Emissions Trading System data viewer</w:t>
                      </w:r>
                    </w:p>
                    <w:p w14:paraId="0057DC61" w14:textId="77777777" w:rsidR="00E005FA" w:rsidRPr="00AC510B" w:rsidRDefault="00E005FA" w:rsidP="001A11E1">
                      <w:pPr>
                        <w:jc w:val="right"/>
                        <w:rPr>
                          <w:rFonts w:asciiTheme="majorHAnsi" w:eastAsia="Times New Roman" w:hAnsiTheme="majorHAnsi" w:cstheme="majorHAnsi"/>
                          <w:color w:val="007B6C"/>
                          <w:sz w:val="48"/>
                          <w:szCs w:val="48"/>
                          <w:lang w:val="fr-FR" w:eastAsia="pt-PT"/>
                        </w:rPr>
                      </w:pPr>
                      <w:r w:rsidRPr="00AC510B">
                        <w:rPr>
                          <w:rFonts w:asciiTheme="majorHAnsi" w:eastAsia="Times New Roman" w:hAnsiTheme="majorHAnsi" w:cstheme="majorHAnsi"/>
                          <w:color w:val="007B6C"/>
                          <w:sz w:val="48"/>
                          <w:szCs w:val="48"/>
                          <w:lang w:val="fr-FR" w:eastAsia="pt-PT"/>
                        </w:rPr>
                        <w:t>Background note</w:t>
                      </w:r>
                    </w:p>
                    <w:p w14:paraId="20024892" w14:textId="77777777" w:rsidR="00E005FA" w:rsidRPr="00BF1075" w:rsidRDefault="00E005FA" w:rsidP="00AC510B">
                      <w:pPr>
                        <w:jc w:val="center"/>
                        <w:rPr>
                          <w:lang w:val="fr-FR"/>
                        </w:rPr>
                      </w:pPr>
                    </w:p>
                  </w:txbxContent>
                </v:textbox>
                <w10:wrap anchorx="margin"/>
              </v:shape>
            </w:pict>
          </mc:Fallback>
        </mc:AlternateContent>
      </w:r>
      <w:r w:rsidR="00684FC7">
        <w:rPr>
          <w:noProof/>
          <w:lang w:val="en-GB" w:eastAsia="en-GB"/>
        </w:rPr>
        <mc:AlternateContent>
          <mc:Choice Requires="wps">
            <w:drawing>
              <wp:anchor distT="0" distB="0" distL="114300" distR="114300" simplePos="0" relativeHeight="251666432" behindDoc="0" locked="0" layoutInCell="1" allowOverlap="1" wp14:anchorId="69645D25" wp14:editId="179B6350">
                <wp:simplePos x="0" y="0"/>
                <wp:positionH relativeFrom="column">
                  <wp:posOffset>-188595</wp:posOffset>
                </wp:positionH>
                <wp:positionV relativeFrom="paragraph">
                  <wp:posOffset>5928617</wp:posOffset>
                </wp:positionV>
                <wp:extent cx="5867400" cy="1439694"/>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39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4C30A" w14:textId="77777777" w:rsidR="00E005FA" w:rsidRPr="007E3F52" w:rsidRDefault="00E005FA" w:rsidP="00BF1075">
                            <w:pPr>
                              <w:rPr>
                                <w:rStyle w:val="Style2"/>
                                <w:rFonts w:ascii="Calibri" w:hAnsi="Calibri"/>
                                <w:sz w:val="22"/>
                              </w:rPr>
                            </w:pPr>
                            <w:r w:rsidRPr="007E3F52">
                              <w:rPr>
                                <w:rStyle w:val="Style2"/>
                                <w:rFonts w:ascii="Calibri" w:hAnsi="Calibri"/>
                                <w:sz w:val="22"/>
                              </w:rPr>
                              <w:t xml:space="preserve">Authors: </w:t>
                            </w:r>
                          </w:p>
                          <w:p w14:paraId="11FB380B" w14:textId="2C9E8875" w:rsidR="00E005FA" w:rsidRPr="00684FC7" w:rsidRDefault="00E005FA" w:rsidP="00BF1075">
                            <w:pPr>
                              <w:spacing w:line="276" w:lineRule="auto"/>
                              <w:jc w:val="left"/>
                              <w:rPr>
                                <w:rStyle w:val="Style1"/>
                                <w:rFonts w:ascii="Calibri" w:hAnsi="Calibri"/>
                                <w:sz w:val="32"/>
                                <w:szCs w:val="28"/>
                              </w:rPr>
                            </w:pPr>
                            <w:r w:rsidRPr="00AC510B">
                              <w:rPr>
                                <w:rStyle w:val="Style1"/>
                                <w:rFonts w:ascii="Calibri" w:hAnsi="Calibri"/>
                                <w:sz w:val="32"/>
                                <w:szCs w:val="28"/>
                              </w:rPr>
                              <w:t>Sabine Gores, Johanna Cludius, Verena Graichen, Sean Healy, Christian Nissen, Carina Zell-Ziegler (</w:t>
                            </w:r>
                            <w:proofErr w:type="spellStart"/>
                            <w:r w:rsidRPr="00AC510B">
                              <w:rPr>
                                <w:rStyle w:val="Style1"/>
                                <w:rFonts w:ascii="Calibri" w:hAnsi="Calibri"/>
                                <w:sz w:val="32"/>
                                <w:szCs w:val="28"/>
                              </w:rPr>
                              <w:t>Öko-Institut</w:t>
                            </w:r>
                            <w:proofErr w:type="spellEnd"/>
                            <w:r w:rsidRPr="00AC510B">
                              <w:rPr>
                                <w:rStyle w:val="Style1"/>
                                <w:rFonts w:ascii="Calibri" w:hAnsi="Calibri"/>
                                <w:sz w:val="32"/>
                                <w:szCs w:val="28"/>
                              </w:rPr>
                              <w:t>)</w:t>
                            </w:r>
                          </w:p>
                          <w:p w14:paraId="6DA1B691" w14:textId="77777777" w:rsidR="00E005FA" w:rsidRPr="00684FC7" w:rsidRDefault="00E005FA" w:rsidP="00BF1075">
                            <w:pPr>
                              <w:ind w:left="142"/>
                              <w:rPr>
                                <w:rStyle w:val="Style1"/>
                                <w:rFonts w:ascii="Calibri" w:hAnsi="Calibri"/>
                                <w:sz w:val="32"/>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45D25" id="Text Box 10" o:spid="_x0000_s1027" type="#_x0000_t202" style="position:absolute;left:0;text-align:left;margin-left:-14.85pt;margin-top:466.8pt;width:462pt;height:11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" filled="f" stroked="f">
                <v:textbox inset=",7.2pt,,7.2pt">
                  <w:txbxContent>
                    <w:p w14:paraId="3D44C30A" w14:textId="77777777" w:rsidR="00E005FA" w:rsidRPr="007E3F52" w:rsidRDefault="00E005FA" w:rsidP="00BF1075">
                      <w:pPr>
                        <w:rPr>
                          <w:rStyle w:val="Style2"/>
                          <w:rFonts w:ascii="Calibri" w:hAnsi="Calibri"/>
                          <w:sz w:val="22"/>
                        </w:rPr>
                      </w:pPr>
                      <w:r w:rsidRPr="007E3F52">
                        <w:rPr>
                          <w:rStyle w:val="Style2"/>
                          <w:rFonts w:ascii="Calibri" w:hAnsi="Calibri"/>
                          <w:sz w:val="22"/>
                        </w:rPr>
                        <w:t xml:space="preserve">Authors: </w:t>
                      </w:r>
                    </w:p>
                    <w:p w14:paraId="11FB380B" w14:textId="2C9E8875" w:rsidR="00E005FA" w:rsidRPr="00684FC7" w:rsidRDefault="00E005FA" w:rsidP="00BF1075">
                      <w:pPr>
                        <w:spacing w:line="276" w:lineRule="auto"/>
                        <w:jc w:val="left"/>
                        <w:rPr>
                          <w:rStyle w:val="Style1"/>
                          <w:rFonts w:ascii="Calibri" w:hAnsi="Calibri"/>
                          <w:sz w:val="32"/>
                          <w:szCs w:val="28"/>
                        </w:rPr>
                      </w:pPr>
                      <w:r w:rsidRPr="00AC510B">
                        <w:rPr>
                          <w:rStyle w:val="Style1"/>
                          <w:rFonts w:ascii="Calibri" w:hAnsi="Calibri"/>
                          <w:sz w:val="32"/>
                          <w:szCs w:val="28"/>
                        </w:rPr>
                        <w:t>Sabine Gores, Johanna Cludius, Verena Graichen, Sean Healy, Christian Nissen, Carina Zell-Ziegler (Öko-Institut)</w:t>
                      </w:r>
                    </w:p>
                    <w:p w14:paraId="6DA1B691" w14:textId="77777777" w:rsidR="00E005FA" w:rsidRPr="00684FC7" w:rsidRDefault="00E005FA" w:rsidP="00BF1075">
                      <w:pPr>
                        <w:ind w:left="142"/>
                        <w:rPr>
                          <w:rStyle w:val="Style1"/>
                          <w:rFonts w:ascii="Calibri" w:hAnsi="Calibri"/>
                          <w:sz w:val="32"/>
                          <w:szCs w:val="28"/>
                        </w:rPr>
                      </w:pPr>
                    </w:p>
                  </w:txbxContent>
                </v:textbox>
              </v:shape>
            </w:pict>
          </mc:Fallback>
        </mc:AlternateContent>
      </w:r>
      <w:r w:rsidR="00E06A63">
        <w:rPr>
          <w:noProof/>
          <w:lang w:val="en-GB" w:eastAsia="en-GB"/>
        </w:rPr>
        <mc:AlternateContent>
          <mc:Choice Requires="wps">
            <w:drawing>
              <wp:anchor distT="0" distB="0" distL="114300" distR="114300" simplePos="0" relativeHeight="251668480" behindDoc="0" locked="0" layoutInCell="1" allowOverlap="1" wp14:anchorId="08CBB2DC" wp14:editId="02A5B498">
                <wp:simplePos x="0" y="0"/>
                <wp:positionH relativeFrom="column">
                  <wp:posOffset>-772796</wp:posOffset>
                </wp:positionH>
                <wp:positionV relativeFrom="paragraph">
                  <wp:posOffset>903605</wp:posOffset>
                </wp:positionV>
                <wp:extent cx="7534275" cy="0"/>
                <wp:effectExtent l="38100" t="38100" r="66675" b="95250"/>
                <wp:wrapNone/>
                <wp:docPr id="1" name="Straight Connector 1"/>
                <wp:cNvGraphicFramePr/>
                <a:graphic xmlns:a="http://schemas.openxmlformats.org/drawingml/2006/main">
                  <a:graphicData uri="http://schemas.microsoft.com/office/word/2010/wordprocessingShape">
                    <wps:wsp>
                      <wps:cNvCnPr/>
                      <wps:spPr>
                        <a:xfrm>
                          <a:off x="0" y="0"/>
                          <a:ext cx="7534275"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A6214A3" id="Straight Connector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0.85pt,71.15pt" to="532.4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" strokecolor="black [3213]" strokeweight=".25pt">
                <v:shadow on="t" color="black" opacity="24903f" origin=",.5" offset="0,.55556mm"/>
              </v:line>
            </w:pict>
          </mc:Fallback>
        </mc:AlternateContent>
      </w:r>
      <w:r w:rsidR="00722F51">
        <w:rPr>
          <w:noProof/>
          <w:lang w:val="en-GB" w:eastAsia="en-GB"/>
        </w:rPr>
        <mc:AlternateContent>
          <mc:Choice Requires="wps">
            <w:drawing>
              <wp:anchor distT="0" distB="0" distL="114300" distR="114300" simplePos="0" relativeHeight="251665408" behindDoc="0" locked="0" layoutInCell="1" allowOverlap="1" wp14:anchorId="6868243F" wp14:editId="54F94F0C">
                <wp:simplePos x="0" y="0"/>
                <wp:positionH relativeFrom="column">
                  <wp:posOffset>-822325</wp:posOffset>
                </wp:positionH>
                <wp:positionV relativeFrom="paragraph">
                  <wp:posOffset>911225</wp:posOffset>
                </wp:positionV>
                <wp:extent cx="7595870" cy="4906010"/>
                <wp:effectExtent l="0" t="0" r="5080" b="8890"/>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5870" cy="4906010"/>
                        </a:xfrm>
                        <a:prstGeom prst="rect">
                          <a:avLst/>
                        </a:prstGeom>
                        <a:solidFill>
                          <a:schemeClr val="bg1">
                            <a:lumMod val="95000"/>
                          </a:schemeClr>
                        </a:solidFill>
                        <a:ln>
                          <a:noFill/>
                        </a:ln>
                      </wps:spPr>
                      <wps:txbx>
                        <w:txbxContent>
                          <w:p w14:paraId="1E59C7AE" w14:textId="104A9556" w:rsidR="00E005FA" w:rsidRPr="00F8460C" w:rsidRDefault="00E005FA" w:rsidP="00D1717E">
                            <w:pPr>
                              <w:jc w:val="center"/>
                              <w:rPr>
                                <w:color w:val="D9D9D9" w:themeColor="background1" w:themeShade="D9"/>
                              </w:rPr>
                            </w:pPr>
                            <w:r>
                              <w:rPr>
                                <w:noProof/>
                                <w:lang w:val="en-GB" w:eastAsia="en-GB"/>
                              </w:rPr>
                              <w:drawing>
                                <wp:inline distT="0" distB="0" distL="0" distR="0" wp14:anchorId="184FBB51" wp14:editId="45D1D94F">
                                  <wp:extent cx="7225030" cy="4814570"/>
                                  <wp:effectExtent l="0" t="0" r="0" b="5080"/>
                                  <wp:docPr id="8" name="Grafik 8"/>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1">
                                            <a:extLst>
                                              <a:ext uri="{28A0092B-C50C-407E-A947-70E740481C1C}">
                                                <a14:useLocalDpi xmlns:a14="http://schemas.microsoft.com/office/drawing/2010/main" val="0"/>
                                              </a:ext>
                                            </a:extLst>
                                          </a:blip>
                                          <a:stretch>
                                            <a:fillRect/>
                                          </a:stretch>
                                        </pic:blipFill>
                                        <pic:spPr>
                                          <a:xfrm>
                                            <a:off x="0" y="0"/>
                                            <a:ext cx="7225030" cy="48145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8243F" id="Rectangle 17" o:spid="_x0000_s1028" style="position:absolute;left:0;text-align:left;margin-left:-64.75pt;margin-top:71.75pt;width:598.1pt;height:38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" fillcolor="#f2f2f2 [3052]" stroked="f">
                <v:textbox>
                  <w:txbxContent>
                    <w:p w14:paraId="1E59C7AE" w14:textId="104A9556" w:rsidR="00E005FA" w:rsidRPr="00F8460C" w:rsidRDefault="00E005FA" w:rsidP="00D1717E">
                      <w:pPr>
                        <w:jc w:val="center"/>
                        <w:rPr>
                          <w:color w:val="D9D9D9" w:themeColor="background1" w:themeShade="D9"/>
                        </w:rPr>
                      </w:pPr>
                      <w:r>
                        <w:rPr>
                          <w:noProof/>
                        </w:rPr>
                        <w:drawing>
                          <wp:inline distT="0" distB="0" distL="0" distR="0" wp14:anchorId="184FBB51" wp14:editId="45D1D94F">
                            <wp:extent cx="7225030" cy="4814570"/>
                            <wp:effectExtent l="0" t="0" r="0" b="5080"/>
                            <wp:docPr id="8" name="Grafik 8"/>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2">
                                      <a:extLst>
                                        <a:ext uri="{28A0092B-C50C-407E-A947-70E740481C1C}">
                                          <a14:useLocalDpi xmlns:a14="http://schemas.microsoft.com/office/drawing/2010/main" val="0"/>
                                        </a:ext>
                                      </a:extLst>
                                    </a:blip>
                                    <a:stretch>
                                      <a:fillRect/>
                                    </a:stretch>
                                  </pic:blipFill>
                                  <pic:spPr>
                                    <a:xfrm>
                                      <a:off x="0" y="0"/>
                                      <a:ext cx="7225030" cy="4814570"/>
                                    </a:xfrm>
                                    <a:prstGeom prst="rect">
                                      <a:avLst/>
                                    </a:prstGeom>
                                  </pic:spPr>
                                </pic:pic>
                              </a:graphicData>
                            </a:graphic>
                          </wp:inline>
                        </w:drawing>
                      </w:r>
                    </w:p>
                  </w:txbxContent>
                </v:textbox>
              </v:rect>
            </w:pict>
          </mc:Fallback>
        </mc:AlternateContent>
      </w:r>
      <w:r w:rsidR="00722F51" w:rsidRPr="004735E4">
        <w:rPr>
          <w:noProof/>
          <w:color w:val="007B6C"/>
          <w:lang w:val="en-GB" w:eastAsia="en-GB"/>
        </w:rPr>
        <mc:AlternateContent>
          <mc:Choice Requires="wps">
            <w:drawing>
              <wp:anchor distT="0" distB="0" distL="114300" distR="114300" simplePos="0" relativeHeight="251664384" behindDoc="0" locked="0" layoutInCell="1" allowOverlap="1" wp14:anchorId="7DA9484B" wp14:editId="46624E15">
                <wp:simplePos x="0" y="0"/>
                <wp:positionH relativeFrom="page">
                  <wp:align>left</wp:align>
                </wp:positionH>
                <wp:positionV relativeFrom="paragraph">
                  <wp:posOffset>5799455</wp:posOffset>
                </wp:positionV>
                <wp:extent cx="7595870" cy="1682750"/>
                <wp:effectExtent l="0" t="0" r="5080" b="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5870" cy="1682750"/>
                        </a:xfrm>
                        <a:prstGeom prst="rect">
                          <a:avLst/>
                        </a:prstGeom>
                        <a:solidFill>
                          <a:srgbClr val="007B6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9E1AB" id="Rectangle 14" o:spid="_x0000_s1026" style="position:absolute;margin-left:0;margin-top:456.65pt;width:598.1pt;height:132.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" fillcolor="#007b6c" stroked="f">
                <w10:wrap anchorx="page"/>
              </v:rect>
            </w:pict>
          </mc:Fallback>
        </mc:AlternateContent>
      </w:r>
      <w:r w:rsidR="00D8795F">
        <w:softHyphen/>
      </w:r>
      <w:r w:rsidR="00E00C4A">
        <w:br w:type="page"/>
      </w:r>
    </w:p>
    <w:p w14:paraId="53596D35" w14:textId="77777777" w:rsidR="008C2449" w:rsidRDefault="008C2449" w:rsidP="00B97944">
      <w:pPr>
        <w:sectPr w:rsidR="008C2449" w:rsidSect="00D27CCA">
          <w:headerReference w:type="default" r:id="rId13"/>
          <w:footerReference w:type="default" r:id="rId14"/>
          <w:headerReference w:type="first" r:id="rId15"/>
          <w:footerReference w:type="first" r:id="rId16"/>
          <w:pgSz w:w="11900" w:h="16840"/>
          <w:pgMar w:top="2597" w:right="1247" w:bottom="4111" w:left="1247" w:header="0" w:footer="505" w:gutter="0"/>
          <w:cols w:space="708"/>
          <w:titlePg/>
          <w:docGrid w:linePitch="360"/>
        </w:sectPr>
      </w:pPr>
    </w:p>
    <w:p w14:paraId="7E3082BC" w14:textId="77777777" w:rsidR="00AC510B" w:rsidRPr="00E91572" w:rsidRDefault="00AC510B" w:rsidP="00AC510B">
      <w:pPr>
        <w:spacing w:line="210" w:lineRule="atLeast"/>
        <w:rPr>
          <w:rFonts w:cs="Open Sans"/>
          <w:color w:val="000000"/>
          <w:sz w:val="18"/>
          <w:szCs w:val="17"/>
        </w:rPr>
      </w:pPr>
      <w:r w:rsidRPr="00E91572">
        <w:rPr>
          <w:rFonts w:cs="Open Sans"/>
          <w:b/>
          <w:color w:val="000000"/>
          <w:sz w:val="18"/>
          <w:szCs w:val="17"/>
        </w:rPr>
        <w:lastRenderedPageBreak/>
        <w:t>Cover Picture:</w:t>
      </w:r>
      <w:r w:rsidRPr="00E91572">
        <w:rPr>
          <w:rFonts w:cs="Open Sans"/>
          <w:color w:val="000000"/>
          <w:sz w:val="18"/>
          <w:szCs w:val="17"/>
        </w:rPr>
        <w:t xml:space="preserve">  Image by </w:t>
      </w:r>
      <w:proofErr w:type="spellStart"/>
      <w:r w:rsidRPr="00E91572">
        <w:rPr>
          <w:rFonts w:cs="Open Sans"/>
          <w:color w:val="000000"/>
          <w:sz w:val="18"/>
          <w:szCs w:val="17"/>
        </w:rPr>
        <w:t>cwizner</w:t>
      </w:r>
      <w:proofErr w:type="spellEnd"/>
      <w:r w:rsidRPr="00E91572">
        <w:rPr>
          <w:rFonts w:cs="Open Sans"/>
          <w:color w:val="000000"/>
          <w:sz w:val="18"/>
          <w:szCs w:val="17"/>
        </w:rPr>
        <w:t xml:space="preserve"> from </w:t>
      </w:r>
      <w:proofErr w:type="spellStart"/>
      <w:r w:rsidRPr="00E91572">
        <w:rPr>
          <w:rFonts w:cs="Open Sans"/>
          <w:color w:val="000000"/>
          <w:sz w:val="18"/>
          <w:szCs w:val="17"/>
        </w:rPr>
        <w:t>Pixabay</w:t>
      </w:r>
      <w:proofErr w:type="spellEnd"/>
      <w:r w:rsidRPr="00E91572">
        <w:rPr>
          <w:rFonts w:cs="Open Sans"/>
          <w:color w:val="000000"/>
          <w:sz w:val="18"/>
          <w:szCs w:val="17"/>
        </w:rPr>
        <w:t xml:space="preserve"> - </w:t>
      </w:r>
      <w:hyperlink r:id="rId17" w:history="1">
        <w:r w:rsidRPr="00E91572">
          <w:rPr>
            <w:rStyle w:val="Hyperlink"/>
            <w:rFonts w:cs="Open Sans"/>
            <w:sz w:val="18"/>
            <w:szCs w:val="17"/>
          </w:rPr>
          <w:t>https://pixabay.com/photos/industry-power-energy-industrial-1827884/</w:t>
        </w:r>
      </w:hyperlink>
      <w:r w:rsidRPr="00E91572">
        <w:rPr>
          <w:rFonts w:cs="Open Sans"/>
          <w:color w:val="000000"/>
          <w:sz w:val="18"/>
          <w:szCs w:val="17"/>
        </w:rPr>
        <w:t xml:space="preserve">  </w:t>
      </w:r>
    </w:p>
    <w:p w14:paraId="26146647" w14:textId="77777777" w:rsidR="00AC510B" w:rsidRPr="00E91572" w:rsidRDefault="00AC510B" w:rsidP="00AC510B">
      <w:pPr>
        <w:spacing w:line="210" w:lineRule="atLeast"/>
        <w:rPr>
          <w:rFonts w:cs="Open Sans"/>
          <w:color w:val="000000"/>
          <w:sz w:val="18"/>
          <w:szCs w:val="17"/>
        </w:rPr>
      </w:pPr>
    </w:p>
    <w:p w14:paraId="77A46E8F" w14:textId="77777777" w:rsidR="00AC510B" w:rsidRPr="00E91572" w:rsidRDefault="00AC510B" w:rsidP="00AC510B">
      <w:pPr>
        <w:spacing w:line="210" w:lineRule="atLeast"/>
        <w:rPr>
          <w:rFonts w:cs="Open Sans"/>
          <w:color w:val="000000"/>
          <w:sz w:val="18"/>
          <w:szCs w:val="17"/>
        </w:rPr>
      </w:pPr>
    </w:p>
    <w:p w14:paraId="7A3249B3" w14:textId="77777777" w:rsidR="00AC510B" w:rsidRPr="00E91572" w:rsidRDefault="00AC510B" w:rsidP="00AC510B">
      <w:pPr>
        <w:spacing w:line="210" w:lineRule="atLeast"/>
        <w:rPr>
          <w:rFonts w:cs="Open Sans"/>
          <w:color w:val="000000"/>
          <w:sz w:val="18"/>
          <w:szCs w:val="17"/>
        </w:rPr>
      </w:pPr>
    </w:p>
    <w:p w14:paraId="685CB6E8" w14:textId="6A27C546" w:rsidR="00AC510B" w:rsidRDefault="00AC510B" w:rsidP="00AC510B">
      <w:pPr>
        <w:spacing w:line="210" w:lineRule="atLeast"/>
        <w:rPr>
          <w:rFonts w:cs="Open Sans"/>
          <w:color w:val="000000"/>
          <w:sz w:val="18"/>
          <w:szCs w:val="17"/>
        </w:rPr>
      </w:pPr>
    </w:p>
    <w:p w14:paraId="12C80D10" w14:textId="77777777" w:rsidR="00AC510B" w:rsidRPr="00E91572" w:rsidRDefault="00AC510B" w:rsidP="00AC510B">
      <w:pPr>
        <w:spacing w:line="210" w:lineRule="atLeast"/>
        <w:rPr>
          <w:rFonts w:cs="Open Sans"/>
          <w:color w:val="000000"/>
          <w:sz w:val="18"/>
          <w:szCs w:val="17"/>
        </w:rPr>
      </w:pPr>
    </w:p>
    <w:p w14:paraId="47E1C483" w14:textId="77777777" w:rsidR="00AC510B" w:rsidRPr="00E91572" w:rsidRDefault="00AC510B" w:rsidP="00AC510B">
      <w:pPr>
        <w:spacing w:line="210" w:lineRule="atLeast"/>
        <w:rPr>
          <w:b/>
          <w:sz w:val="18"/>
          <w:szCs w:val="18"/>
        </w:rPr>
      </w:pPr>
      <w:r w:rsidRPr="00E91572">
        <w:rPr>
          <w:b/>
          <w:sz w:val="18"/>
          <w:szCs w:val="18"/>
        </w:rPr>
        <w:t>Disclaimer</w:t>
      </w:r>
    </w:p>
    <w:p w14:paraId="3B3CB473" w14:textId="3096C8AD" w:rsidR="00AC510B" w:rsidRPr="00E91572" w:rsidRDefault="00AC510B" w:rsidP="00AC510B">
      <w:pPr>
        <w:spacing w:line="210" w:lineRule="atLeast"/>
        <w:rPr>
          <w:sz w:val="18"/>
          <w:szCs w:val="18"/>
        </w:rPr>
      </w:pPr>
      <w:r w:rsidRPr="00E91572">
        <w:rPr>
          <w:sz w:val="18"/>
          <w:szCs w:val="18"/>
        </w:rPr>
        <w:t>This ETC/CM Working Paper has not been published and therefore no reference can be made to it in any other formal or published document or document meant for publication. This document has not been subjected to any formal review by the European Environment Agency (EEA) or EEA’s member countries. It does not represent the formal views of the EEA and its ETC/CME.</w:t>
      </w:r>
    </w:p>
    <w:p w14:paraId="09541DAD" w14:textId="77777777" w:rsidR="00F97AF4" w:rsidRDefault="00F97AF4" w:rsidP="286703DB">
      <w:pPr>
        <w:rPr>
          <w:rFonts w:eastAsia="Calibri" w:cs="Calibri"/>
          <w:sz w:val="18"/>
          <w:szCs w:val="18"/>
        </w:rPr>
      </w:pPr>
    </w:p>
    <w:p w14:paraId="1D9FEA01" w14:textId="4C6BC2A2" w:rsidR="286703DB" w:rsidRDefault="286703DB" w:rsidP="286703DB">
      <w:pPr>
        <w:rPr>
          <w:szCs w:val="22"/>
        </w:rPr>
      </w:pPr>
    </w:p>
    <w:p w14:paraId="5D168D6D" w14:textId="77777777" w:rsidR="00F97AF4" w:rsidRDefault="00F97AF4" w:rsidP="286703DB">
      <w:pPr>
        <w:rPr>
          <w:szCs w:val="22"/>
        </w:rPr>
      </w:pPr>
    </w:p>
    <w:p w14:paraId="4E394945" w14:textId="77777777" w:rsidR="009A73EB" w:rsidRDefault="009A73EB" w:rsidP="00104BA0">
      <w:pPr>
        <w:spacing w:line="210" w:lineRule="atLeast"/>
        <w:rPr>
          <w:sz w:val="18"/>
          <w:szCs w:val="18"/>
        </w:rPr>
      </w:pPr>
    </w:p>
    <w:p w14:paraId="2C3A2E83" w14:textId="77777777" w:rsidR="00A2006C" w:rsidRDefault="00A2006C" w:rsidP="00A2006C">
      <w:pPr>
        <w:jc w:val="left"/>
        <w:rPr>
          <w:rStyle w:val="Style1"/>
          <w:rFonts w:ascii="Calibri" w:hAnsi="Calibri"/>
          <w:color w:val="000000" w:themeColor="text1"/>
          <w:sz w:val="16"/>
          <w:szCs w:val="16"/>
          <w:lang w:val="en-GB"/>
        </w:rPr>
      </w:pPr>
    </w:p>
    <w:p w14:paraId="4FA175EA" w14:textId="77777777" w:rsidR="009A73EB" w:rsidRPr="00B21CC2" w:rsidRDefault="009A73EB" w:rsidP="00104BA0">
      <w:pPr>
        <w:spacing w:line="210" w:lineRule="atLeast"/>
        <w:rPr>
          <w:rFonts w:cs="Open Sans"/>
          <w:color w:val="000000"/>
          <w:sz w:val="18"/>
          <w:szCs w:val="18"/>
          <w:lang w:val="da-DK"/>
        </w:rPr>
      </w:pPr>
    </w:p>
    <w:p w14:paraId="00356C87" w14:textId="77777777" w:rsidR="009A73EB" w:rsidRPr="00B21CC2" w:rsidRDefault="009A73EB" w:rsidP="00104BA0">
      <w:pPr>
        <w:spacing w:line="210" w:lineRule="atLeast"/>
        <w:rPr>
          <w:rFonts w:cs="Open Sans"/>
          <w:color w:val="000000"/>
          <w:sz w:val="18"/>
          <w:szCs w:val="18"/>
          <w:lang w:val="da-DK"/>
        </w:rPr>
      </w:pPr>
    </w:p>
    <w:p w14:paraId="4526F759" w14:textId="77777777" w:rsidR="009A73EB" w:rsidRPr="00B21CC2" w:rsidRDefault="009A73EB" w:rsidP="00104BA0">
      <w:pPr>
        <w:spacing w:line="210" w:lineRule="atLeast"/>
        <w:rPr>
          <w:rFonts w:cs="Open Sans"/>
          <w:color w:val="000000"/>
          <w:sz w:val="18"/>
          <w:szCs w:val="18"/>
          <w:lang w:val="da-DK"/>
        </w:rPr>
      </w:pPr>
    </w:p>
    <w:p w14:paraId="557204E0" w14:textId="77777777" w:rsidR="009A73EB" w:rsidRPr="00B21CC2" w:rsidRDefault="009A73EB" w:rsidP="00104BA0">
      <w:pPr>
        <w:spacing w:line="210" w:lineRule="atLeast"/>
        <w:rPr>
          <w:rFonts w:cs="Open Sans"/>
          <w:color w:val="000000"/>
          <w:sz w:val="18"/>
          <w:szCs w:val="18"/>
          <w:lang w:val="da-DK"/>
        </w:rPr>
      </w:pPr>
    </w:p>
    <w:p w14:paraId="1231DE95" w14:textId="77777777" w:rsidR="009A73EB" w:rsidRPr="00B21CC2" w:rsidRDefault="009A73EB" w:rsidP="00104BA0">
      <w:pPr>
        <w:spacing w:line="210" w:lineRule="atLeast"/>
        <w:rPr>
          <w:rFonts w:cs="Open Sans"/>
          <w:color w:val="000000"/>
          <w:sz w:val="18"/>
          <w:szCs w:val="18"/>
          <w:lang w:val="da-DK"/>
        </w:rPr>
      </w:pPr>
    </w:p>
    <w:p w14:paraId="1E34A3CB" w14:textId="77777777" w:rsidR="009A73EB" w:rsidRPr="00B21CC2" w:rsidRDefault="009A73EB" w:rsidP="00104BA0">
      <w:pPr>
        <w:spacing w:line="210" w:lineRule="atLeast"/>
        <w:rPr>
          <w:rFonts w:cs="Open Sans"/>
          <w:color w:val="000000"/>
          <w:sz w:val="18"/>
          <w:szCs w:val="18"/>
          <w:lang w:val="da-DK"/>
        </w:rPr>
      </w:pPr>
    </w:p>
    <w:p w14:paraId="647C55EC" w14:textId="77777777" w:rsidR="009A73EB" w:rsidRPr="00B21CC2" w:rsidRDefault="009A73EB" w:rsidP="00104BA0">
      <w:pPr>
        <w:spacing w:line="210" w:lineRule="atLeast"/>
        <w:rPr>
          <w:rFonts w:cs="Open Sans"/>
          <w:color w:val="000000"/>
          <w:sz w:val="18"/>
          <w:szCs w:val="18"/>
          <w:lang w:val="da-DK"/>
        </w:rPr>
      </w:pPr>
    </w:p>
    <w:p w14:paraId="10F91AE6" w14:textId="77777777" w:rsidR="009A73EB" w:rsidRPr="00B21CC2" w:rsidRDefault="009A73EB" w:rsidP="00104BA0">
      <w:pPr>
        <w:spacing w:line="210" w:lineRule="atLeast"/>
        <w:rPr>
          <w:rFonts w:cs="Open Sans"/>
          <w:color w:val="000000"/>
          <w:sz w:val="18"/>
          <w:szCs w:val="18"/>
          <w:lang w:val="da-DK"/>
        </w:rPr>
      </w:pPr>
    </w:p>
    <w:p w14:paraId="3F89AD11" w14:textId="3B942F4F" w:rsidR="009A73EB" w:rsidRDefault="009A73EB" w:rsidP="00104BA0">
      <w:pPr>
        <w:spacing w:line="210" w:lineRule="atLeast"/>
        <w:rPr>
          <w:rFonts w:cs="Open Sans"/>
          <w:color w:val="000000"/>
          <w:sz w:val="18"/>
          <w:szCs w:val="18"/>
          <w:lang w:val="da-DK"/>
        </w:rPr>
      </w:pPr>
    </w:p>
    <w:p w14:paraId="3EE7CE8E" w14:textId="5DEBE3CB" w:rsidR="00AC510B" w:rsidRDefault="00AC510B" w:rsidP="00104BA0">
      <w:pPr>
        <w:spacing w:line="210" w:lineRule="atLeast"/>
        <w:rPr>
          <w:rFonts w:cs="Open Sans"/>
          <w:color w:val="000000"/>
          <w:sz w:val="18"/>
          <w:szCs w:val="18"/>
          <w:lang w:val="da-DK"/>
        </w:rPr>
      </w:pPr>
    </w:p>
    <w:p w14:paraId="3D8EC427" w14:textId="2907EB1B" w:rsidR="00AC510B" w:rsidRDefault="00AC510B" w:rsidP="00104BA0">
      <w:pPr>
        <w:spacing w:line="210" w:lineRule="atLeast"/>
        <w:rPr>
          <w:rFonts w:cs="Open Sans"/>
          <w:color w:val="000000"/>
          <w:sz w:val="18"/>
          <w:szCs w:val="18"/>
          <w:lang w:val="da-DK"/>
        </w:rPr>
      </w:pPr>
    </w:p>
    <w:p w14:paraId="2FD3239B" w14:textId="5209BF02" w:rsidR="00AC510B" w:rsidRDefault="00AC510B" w:rsidP="00104BA0">
      <w:pPr>
        <w:spacing w:line="210" w:lineRule="atLeast"/>
        <w:rPr>
          <w:rFonts w:cs="Open Sans"/>
          <w:color w:val="000000"/>
          <w:sz w:val="18"/>
          <w:szCs w:val="18"/>
          <w:lang w:val="da-DK"/>
        </w:rPr>
      </w:pPr>
    </w:p>
    <w:p w14:paraId="5AF1976D" w14:textId="014B196D" w:rsidR="00AC510B" w:rsidRDefault="00AC510B" w:rsidP="00104BA0">
      <w:pPr>
        <w:spacing w:line="210" w:lineRule="atLeast"/>
        <w:rPr>
          <w:rFonts w:cs="Open Sans"/>
          <w:color w:val="000000"/>
          <w:sz w:val="18"/>
          <w:szCs w:val="18"/>
          <w:lang w:val="da-DK"/>
        </w:rPr>
      </w:pPr>
    </w:p>
    <w:p w14:paraId="391B227F" w14:textId="610728F2" w:rsidR="00AC510B" w:rsidRDefault="00AC510B" w:rsidP="00104BA0">
      <w:pPr>
        <w:spacing w:line="210" w:lineRule="atLeast"/>
        <w:rPr>
          <w:rFonts w:cs="Open Sans"/>
          <w:color w:val="000000"/>
          <w:sz w:val="18"/>
          <w:szCs w:val="18"/>
          <w:lang w:val="da-DK"/>
        </w:rPr>
      </w:pPr>
    </w:p>
    <w:p w14:paraId="6ABAA3CD" w14:textId="152AF227" w:rsidR="00AC510B" w:rsidRDefault="00AC510B" w:rsidP="00104BA0">
      <w:pPr>
        <w:spacing w:line="210" w:lineRule="atLeast"/>
        <w:rPr>
          <w:rFonts w:cs="Open Sans"/>
          <w:color w:val="000000"/>
          <w:sz w:val="18"/>
          <w:szCs w:val="18"/>
          <w:lang w:val="da-DK"/>
        </w:rPr>
      </w:pPr>
    </w:p>
    <w:p w14:paraId="2B986D41" w14:textId="11A41B1A" w:rsidR="00AC510B" w:rsidRDefault="00AC510B" w:rsidP="00104BA0">
      <w:pPr>
        <w:spacing w:line="210" w:lineRule="atLeast"/>
        <w:rPr>
          <w:rFonts w:cs="Open Sans"/>
          <w:color w:val="000000"/>
          <w:sz w:val="18"/>
          <w:szCs w:val="18"/>
          <w:lang w:val="da-DK"/>
        </w:rPr>
      </w:pPr>
    </w:p>
    <w:p w14:paraId="5FB068AB" w14:textId="0DAC591E" w:rsidR="00AC510B" w:rsidRDefault="00AC510B" w:rsidP="00104BA0">
      <w:pPr>
        <w:spacing w:line="210" w:lineRule="atLeast"/>
        <w:rPr>
          <w:rFonts w:cs="Open Sans"/>
          <w:color w:val="000000"/>
          <w:sz w:val="18"/>
          <w:szCs w:val="18"/>
          <w:lang w:val="da-DK"/>
        </w:rPr>
      </w:pPr>
    </w:p>
    <w:p w14:paraId="27E38414" w14:textId="5E4EC53C" w:rsidR="00AC510B" w:rsidRDefault="00AC510B" w:rsidP="00104BA0">
      <w:pPr>
        <w:spacing w:line="210" w:lineRule="atLeast"/>
        <w:rPr>
          <w:rFonts w:cs="Open Sans"/>
          <w:color w:val="000000"/>
          <w:sz w:val="18"/>
          <w:szCs w:val="18"/>
          <w:lang w:val="da-DK"/>
        </w:rPr>
      </w:pPr>
    </w:p>
    <w:p w14:paraId="0EF18410" w14:textId="6264178D" w:rsidR="00AC510B" w:rsidRDefault="00AC510B" w:rsidP="00104BA0">
      <w:pPr>
        <w:spacing w:line="210" w:lineRule="atLeast"/>
        <w:rPr>
          <w:rFonts w:cs="Open Sans"/>
          <w:color w:val="000000"/>
          <w:sz w:val="18"/>
          <w:szCs w:val="18"/>
          <w:lang w:val="da-DK"/>
        </w:rPr>
      </w:pPr>
    </w:p>
    <w:p w14:paraId="34E86FD7" w14:textId="541748FF" w:rsidR="00AC510B" w:rsidRDefault="00AC510B" w:rsidP="00104BA0">
      <w:pPr>
        <w:spacing w:line="210" w:lineRule="atLeast"/>
        <w:rPr>
          <w:rFonts w:cs="Open Sans"/>
          <w:color w:val="000000"/>
          <w:sz w:val="18"/>
          <w:szCs w:val="18"/>
          <w:lang w:val="da-DK"/>
        </w:rPr>
      </w:pPr>
    </w:p>
    <w:p w14:paraId="1C5839D4" w14:textId="7FAF2FA9" w:rsidR="00AC510B" w:rsidRDefault="00AC510B" w:rsidP="00104BA0">
      <w:pPr>
        <w:spacing w:line="210" w:lineRule="atLeast"/>
        <w:rPr>
          <w:rFonts w:cs="Open Sans"/>
          <w:color w:val="000000"/>
          <w:sz w:val="18"/>
          <w:szCs w:val="18"/>
          <w:lang w:val="da-DK"/>
        </w:rPr>
      </w:pPr>
    </w:p>
    <w:p w14:paraId="7EC468B1" w14:textId="4FF149B5" w:rsidR="00AC510B" w:rsidRDefault="00AC510B" w:rsidP="00104BA0">
      <w:pPr>
        <w:spacing w:line="210" w:lineRule="atLeast"/>
        <w:rPr>
          <w:rFonts w:cs="Open Sans"/>
          <w:color w:val="000000"/>
          <w:sz w:val="18"/>
          <w:szCs w:val="18"/>
          <w:lang w:val="da-DK"/>
        </w:rPr>
      </w:pPr>
    </w:p>
    <w:p w14:paraId="76A584E2" w14:textId="46E7D407" w:rsidR="00AC510B" w:rsidRDefault="00AC510B" w:rsidP="00104BA0">
      <w:pPr>
        <w:spacing w:line="210" w:lineRule="atLeast"/>
        <w:rPr>
          <w:rFonts w:cs="Open Sans"/>
          <w:color w:val="000000"/>
          <w:sz w:val="18"/>
          <w:szCs w:val="18"/>
          <w:lang w:val="da-DK"/>
        </w:rPr>
      </w:pPr>
    </w:p>
    <w:p w14:paraId="46BDE92F" w14:textId="7EA78557" w:rsidR="00AC510B" w:rsidRDefault="00AC510B" w:rsidP="00104BA0">
      <w:pPr>
        <w:spacing w:line="210" w:lineRule="atLeast"/>
        <w:rPr>
          <w:rFonts w:cs="Open Sans"/>
          <w:color w:val="000000"/>
          <w:sz w:val="18"/>
          <w:szCs w:val="18"/>
          <w:lang w:val="da-DK"/>
        </w:rPr>
      </w:pPr>
    </w:p>
    <w:p w14:paraId="7BB34F91" w14:textId="29005C59" w:rsidR="00AC510B" w:rsidRDefault="00AC510B" w:rsidP="00104BA0">
      <w:pPr>
        <w:spacing w:line="210" w:lineRule="atLeast"/>
        <w:rPr>
          <w:rFonts w:cs="Open Sans"/>
          <w:color w:val="000000"/>
          <w:sz w:val="18"/>
          <w:szCs w:val="18"/>
          <w:lang w:val="da-DK"/>
        </w:rPr>
      </w:pPr>
    </w:p>
    <w:p w14:paraId="0DE380C0" w14:textId="6BCF04FD" w:rsidR="00AC510B" w:rsidRDefault="00AC510B" w:rsidP="00104BA0">
      <w:pPr>
        <w:spacing w:line="210" w:lineRule="atLeast"/>
        <w:rPr>
          <w:rFonts w:cs="Open Sans"/>
          <w:color w:val="000000"/>
          <w:sz w:val="18"/>
          <w:szCs w:val="18"/>
          <w:lang w:val="da-DK"/>
        </w:rPr>
      </w:pPr>
    </w:p>
    <w:p w14:paraId="7FFF436F" w14:textId="7ECAFE52" w:rsidR="00AC510B" w:rsidRDefault="00AC510B" w:rsidP="00104BA0">
      <w:pPr>
        <w:spacing w:line="210" w:lineRule="atLeast"/>
        <w:rPr>
          <w:rFonts w:cs="Open Sans"/>
          <w:color w:val="000000"/>
          <w:sz w:val="18"/>
          <w:szCs w:val="18"/>
          <w:lang w:val="da-DK"/>
        </w:rPr>
      </w:pPr>
    </w:p>
    <w:p w14:paraId="4C8B7983" w14:textId="1DC17BD2" w:rsidR="00AC510B" w:rsidRDefault="00AC510B" w:rsidP="00104BA0">
      <w:pPr>
        <w:spacing w:line="210" w:lineRule="atLeast"/>
        <w:rPr>
          <w:rFonts w:cs="Open Sans"/>
          <w:color w:val="000000"/>
          <w:sz w:val="18"/>
          <w:szCs w:val="18"/>
          <w:lang w:val="da-DK"/>
        </w:rPr>
      </w:pPr>
    </w:p>
    <w:p w14:paraId="22B7E9FA" w14:textId="0497E8A0" w:rsidR="00AC510B" w:rsidRDefault="00AC510B" w:rsidP="00104BA0">
      <w:pPr>
        <w:spacing w:line="210" w:lineRule="atLeast"/>
        <w:rPr>
          <w:rFonts w:cs="Open Sans"/>
          <w:color w:val="000000"/>
          <w:sz w:val="18"/>
          <w:szCs w:val="18"/>
          <w:lang w:val="da-DK"/>
        </w:rPr>
      </w:pPr>
    </w:p>
    <w:p w14:paraId="52C3FC91" w14:textId="43BD3A97" w:rsidR="00AC510B" w:rsidRDefault="00AC510B" w:rsidP="00104BA0">
      <w:pPr>
        <w:spacing w:line="210" w:lineRule="atLeast"/>
        <w:rPr>
          <w:rFonts w:cs="Open Sans"/>
          <w:color w:val="000000"/>
          <w:sz w:val="18"/>
          <w:szCs w:val="18"/>
          <w:lang w:val="da-DK"/>
        </w:rPr>
      </w:pPr>
    </w:p>
    <w:p w14:paraId="4D7D8C9E" w14:textId="64887A77" w:rsidR="00AC510B" w:rsidRDefault="00AC510B" w:rsidP="00104BA0">
      <w:pPr>
        <w:spacing w:line="210" w:lineRule="atLeast"/>
        <w:rPr>
          <w:rFonts w:cs="Open Sans"/>
          <w:color w:val="000000"/>
          <w:sz w:val="18"/>
          <w:szCs w:val="18"/>
          <w:lang w:val="da-DK"/>
        </w:rPr>
      </w:pPr>
    </w:p>
    <w:p w14:paraId="62CF04BD" w14:textId="3AF5BAE0" w:rsidR="00AC510B" w:rsidRDefault="00AC510B" w:rsidP="00104BA0">
      <w:pPr>
        <w:spacing w:line="210" w:lineRule="atLeast"/>
        <w:rPr>
          <w:rFonts w:cs="Open Sans"/>
          <w:color w:val="000000"/>
          <w:sz w:val="18"/>
          <w:szCs w:val="18"/>
          <w:lang w:val="da-DK"/>
        </w:rPr>
      </w:pPr>
    </w:p>
    <w:p w14:paraId="000EF2A7" w14:textId="587FAAE3" w:rsidR="00AC510B" w:rsidRDefault="00AC510B" w:rsidP="00104BA0">
      <w:pPr>
        <w:spacing w:line="210" w:lineRule="atLeast"/>
        <w:rPr>
          <w:rFonts w:cs="Open Sans"/>
          <w:color w:val="000000"/>
          <w:sz w:val="18"/>
          <w:szCs w:val="18"/>
          <w:lang w:val="da-DK"/>
        </w:rPr>
      </w:pPr>
    </w:p>
    <w:p w14:paraId="34CBA57A" w14:textId="039806BA" w:rsidR="00AC510B" w:rsidRDefault="00AC510B" w:rsidP="00104BA0">
      <w:pPr>
        <w:spacing w:line="210" w:lineRule="atLeast"/>
        <w:rPr>
          <w:rFonts w:cs="Open Sans"/>
          <w:color w:val="000000"/>
          <w:sz w:val="18"/>
          <w:szCs w:val="18"/>
          <w:lang w:val="da-DK"/>
        </w:rPr>
      </w:pPr>
    </w:p>
    <w:p w14:paraId="7A46B308" w14:textId="054F3338" w:rsidR="00AC510B" w:rsidRDefault="00AC510B" w:rsidP="00104BA0">
      <w:pPr>
        <w:spacing w:line="210" w:lineRule="atLeast"/>
        <w:rPr>
          <w:rFonts w:cs="Open Sans"/>
          <w:color w:val="000000"/>
          <w:sz w:val="18"/>
          <w:szCs w:val="18"/>
          <w:lang w:val="da-DK"/>
        </w:rPr>
      </w:pPr>
    </w:p>
    <w:p w14:paraId="4A6CA1D1" w14:textId="7FB72116" w:rsidR="00AC510B" w:rsidRDefault="00AC510B" w:rsidP="00104BA0">
      <w:pPr>
        <w:spacing w:line="210" w:lineRule="atLeast"/>
        <w:rPr>
          <w:rFonts w:cs="Open Sans"/>
          <w:color w:val="000000"/>
          <w:sz w:val="18"/>
          <w:szCs w:val="18"/>
          <w:lang w:val="da-DK"/>
        </w:rPr>
      </w:pPr>
    </w:p>
    <w:p w14:paraId="2F7D3E08" w14:textId="72C18841" w:rsidR="00D7517A" w:rsidRDefault="00D7517A" w:rsidP="00104BA0">
      <w:pPr>
        <w:spacing w:line="210" w:lineRule="atLeast"/>
        <w:rPr>
          <w:rFonts w:cs="Open Sans"/>
          <w:color w:val="000000"/>
          <w:sz w:val="18"/>
          <w:szCs w:val="18"/>
          <w:lang w:val="da-DK"/>
        </w:rPr>
      </w:pPr>
    </w:p>
    <w:p w14:paraId="05950D2B" w14:textId="4226DF4C" w:rsidR="00D7517A" w:rsidRDefault="00D7517A" w:rsidP="00104BA0">
      <w:pPr>
        <w:spacing w:line="210" w:lineRule="atLeast"/>
        <w:rPr>
          <w:rFonts w:cs="Open Sans"/>
          <w:color w:val="000000"/>
          <w:sz w:val="18"/>
          <w:szCs w:val="18"/>
          <w:lang w:val="da-DK"/>
        </w:rPr>
      </w:pPr>
    </w:p>
    <w:p w14:paraId="685134AF" w14:textId="54737DF9" w:rsidR="00D7517A" w:rsidRDefault="00D7517A" w:rsidP="00104BA0">
      <w:pPr>
        <w:spacing w:line="210" w:lineRule="atLeast"/>
        <w:rPr>
          <w:rFonts w:cs="Open Sans"/>
          <w:color w:val="000000"/>
          <w:sz w:val="18"/>
          <w:szCs w:val="18"/>
          <w:lang w:val="da-DK"/>
        </w:rPr>
      </w:pPr>
    </w:p>
    <w:p w14:paraId="54756252" w14:textId="77777777" w:rsidR="00D7517A" w:rsidRDefault="00D7517A" w:rsidP="00104BA0">
      <w:pPr>
        <w:spacing w:line="210" w:lineRule="atLeast"/>
        <w:rPr>
          <w:rFonts w:cs="Open Sans"/>
          <w:color w:val="000000"/>
          <w:sz w:val="18"/>
          <w:szCs w:val="18"/>
          <w:lang w:val="da-DK"/>
        </w:rPr>
      </w:pPr>
    </w:p>
    <w:p w14:paraId="4A0CD562" w14:textId="6962EDCF" w:rsidR="00AC510B" w:rsidRDefault="00AC510B" w:rsidP="00104BA0">
      <w:pPr>
        <w:spacing w:line="210" w:lineRule="atLeast"/>
        <w:rPr>
          <w:rFonts w:cs="Open Sans"/>
          <w:color w:val="000000"/>
          <w:sz w:val="18"/>
          <w:szCs w:val="18"/>
          <w:lang w:val="da-DK"/>
        </w:rPr>
      </w:pPr>
    </w:p>
    <w:p w14:paraId="1D43A9AE" w14:textId="77777777" w:rsidR="00AC510B" w:rsidRPr="00E91572" w:rsidRDefault="00AC510B" w:rsidP="00AC510B">
      <w:pPr>
        <w:widowControl w:val="0"/>
        <w:suppressAutoHyphens/>
        <w:autoSpaceDE w:val="0"/>
        <w:autoSpaceDN w:val="0"/>
        <w:adjustRightInd w:val="0"/>
        <w:spacing w:line="288" w:lineRule="auto"/>
        <w:jc w:val="left"/>
        <w:textAlignment w:val="center"/>
        <w:rPr>
          <w:sz w:val="18"/>
          <w:szCs w:val="18"/>
        </w:rPr>
      </w:pPr>
      <w:r w:rsidRPr="00E91572">
        <w:rPr>
          <w:sz w:val="18"/>
          <w:szCs w:val="18"/>
        </w:rPr>
        <w:t>ETC/CME Working paper</w:t>
      </w:r>
    </w:p>
    <w:p w14:paraId="47D130EE" w14:textId="77777777" w:rsidR="00AC510B" w:rsidRPr="00E91572" w:rsidRDefault="00AC510B" w:rsidP="00AC510B">
      <w:pPr>
        <w:widowControl w:val="0"/>
        <w:suppressAutoHyphens/>
        <w:autoSpaceDE w:val="0"/>
        <w:autoSpaceDN w:val="0"/>
        <w:adjustRightInd w:val="0"/>
        <w:spacing w:line="288" w:lineRule="auto"/>
        <w:jc w:val="left"/>
        <w:textAlignment w:val="center"/>
        <w:rPr>
          <w:rFonts w:cs="OpenSans"/>
          <w:color w:val="000000"/>
          <w:spacing w:val="2"/>
          <w:sz w:val="18"/>
          <w:szCs w:val="16"/>
        </w:rPr>
      </w:pPr>
      <w:r w:rsidRPr="00E91572">
        <w:rPr>
          <w:sz w:val="18"/>
          <w:szCs w:val="18"/>
        </w:rPr>
        <w:t xml:space="preserve">European Topic Centre on Climate </w:t>
      </w:r>
      <w:r w:rsidRPr="00E91572">
        <w:rPr>
          <w:sz w:val="18"/>
          <w:szCs w:val="18"/>
        </w:rPr>
        <w:br/>
        <w:t>change mitigation and energy</w:t>
      </w:r>
    </w:p>
    <w:p w14:paraId="3F4F078F" w14:textId="77777777" w:rsidR="00AC510B" w:rsidRPr="00E91572" w:rsidRDefault="00AC510B" w:rsidP="00AC510B">
      <w:pPr>
        <w:spacing w:line="210" w:lineRule="atLeast"/>
        <w:rPr>
          <w:sz w:val="18"/>
          <w:szCs w:val="18"/>
          <w:lang w:val="nl-BE"/>
        </w:rPr>
      </w:pPr>
      <w:r w:rsidRPr="00E91572">
        <w:rPr>
          <w:sz w:val="18"/>
          <w:szCs w:val="18"/>
          <w:lang w:val="nl-BE"/>
        </w:rPr>
        <w:t>Boeretang 200</w:t>
      </w:r>
    </w:p>
    <w:p w14:paraId="55E1BE68" w14:textId="77777777" w:rsidR="00AC510B" w:rsidRPr="00E91572" w:rsidRDefault="00AC510B" w:rsidP="00AC510B">
      <w:pPr>
        <w:spacing w:line="210" w:lineRule="atLeast"/>
        <w:rPr>
          <w:sz w:val="18"/>
          <w:szCs w:val="18"/>
          <w:lang w:val="nl-BE"/>
        </w:rPr>
      </w:pPr>
      <w:r w:rsidRPr="00E91572">
        <w:rPr>
          <w:sz w:val="18"/>
          <w:szCs w:val="18"/>
          <w:lang w:val="nl-BE"/>
        </w:rPr>
        <w:t>B-2400 Mol, Belgium</w:t>
      </w:r>
    </w:p>
    <w:p w14:paraId="5052843B" w14:textId="77777777" w:rsidR="00AC510B" w:rsidRPr="00E91572" w:rsidRDefault="00AC510B" w:rsidP="00AC510B">
      <w:pPr>
        <w:spacing w:line="210" w:lineRule="atLeast"/>
        <w:rPr>
          <w:sz w:val="18"/>
          <w:szCs w:val="18"/>
          <w:lang w:val="nl-BE"/>
        </w:rPr>
      </w:pPr>
      <w:r w:rsidRPr="00E91572">
        <w:rPr>
          <w:sz w:val="18"/>
          <w:szCs w:val="18"/>
          <w:lang w:val="nl-BE"/>
        </w:rPr>
        <w:t>Tel.: +32 14 33 59 77</w:t>
      </w:r>
    </w:p>
    <w:p w14:paraId="25EE9826" w14:textId="58B9EC04" w:rsidR="009A73EB" w:rsidRPr="00B21CC2" w:rsidRDefault="00AC510B" w:rsidP="00104BA0">
      <w:pPr>
        <w:spacing w:line="210" w:lineRule="atLeast"/>
        <w:rPr>
          <w:rFonts w:cs="Open Sans"/>
          <w:color w:val="000000"/>
          <w:sz w:val="18"/>
          <w:szCs w:val="18"/>
          <w:lang w:val="da-DK"/>
        </w:rPr>
      </w:pPr>
      <w:r w:rsidRPr="00E91572">
        <w:rPr>
          <w:sz w:val="18"/>
          <w:szCs w:val="18"/>
        </w:rPr>
        <w:t>Email: etccme@vito.be</w:t>
      </w:r>
    </w:p>
    <w:p w14:paraId="4777A468" w14:textId="4CBC357C" w:rsidR="00612B20" w:rsidRPr="00BF1075" w:rsidRDefault="00612B20" w:rsidP="00104BA0">
      <w:pPr>
        <w:spacing w:line="210" w:lineRule="atLeast"/>
        <w:rPr>
          <w:rFonts w:cs="Open Sans"/>
          <w:color w:val="000000"/>
          <w:sz w:val="18"/>
          <w:szCs w:val="17"/>
          <w:lang w:val="fr-FR"/>
        </w:rPr>
        <w:sectPr w:rsidR="00612B20" w:rsidRPr="00BF1075" w:rsidSect="005D78E8">
          <w:headerReference w:type="default" r:id="rId18"/>
          <w:headerReference w:type="first" r:id="rId19"/>
          <w:footerReference w:type="first" r:id="rId20"/>
          <w:type w:val="continuous"/>
          <w:pgSz w:w="11900" w:h="16840"/>
          <w:pgMar w:top="1247" w:right="1247" w:bottom="1247" w:left="1247" w:header="0" w:footer="505" w:gutter="0"/>
          <w:cols w:space="708"/>
          <w:titlePg/>
          <w:docGrid w:linePitch="360"/>
        </w:sectPr>
      </w:pPr>
    </w:p>
    <w:p w14:paraId="53EB0964" w14:textId="77777777" w:rsidR="009A1694" w:rsidRPr="00B123B9" w:rsidRDefault="009A73EB" w:rsidP="002B3863">
      <w:pPr>
        <w:pStyle w:val="Heading1"/>
        <w:rPr>
          <w:lang w:val="pt-PT"/>
        </w:rPr>
      </w:pPr>
      <w:bookmarkStart w:id="0" w:name="_Toc97126220"/>
      <w:r w:rsidRPr="286703DB">
        <w:rPr>
          <w:lang w:val="pt-PT"/>
        </w:rPr>
        <w:lastRenderedPageBreak/>
        <w:t>Contents</w:t>
      </w:r>
      <w:bookmarkEnd w:id="0"/>
    </w:p>
    <w:sdt>
      <w:sdtPr>
        <w:rPr>
          <w:rFonts w:eastAsiaTheme="minorEastAsia" w:cstheme="minorBidi"/>
          <w:b w:val="0"/>
          <w:bCs w:val="0"/>
          <w:color w:val="auto"/>
          <w:sz w:val="22"/>
          <w:szCs w:val="24"/>
          <w:lang w:val="en-US"/>
        </w:rPr>
        <w:id w:val="1511404877"/>
        <w:docPartObj>
          <w:docPartGallery w:val="Table of Contents"/>
          <w:docPartUnique/>
        </w:docPartObj>
      </w:sdtPr>
      <w:sdtEndPr/>
      <w:sdtContent>
        <w:p w14:paraId="5B6DC3A9" w14:textId="77777777" w:rsidR="009B108A" w:rsidRPr="009B108A" w:rsidRDefault="009B108A">
          <w:pPr>
            <w:pStyle w:val="TOCHeading"/>
            <w:rPr>
              <w:sz w:val="18"/>
              <w:szCs w:val="18"/>
            </w:rPr>
          </w:pPr>
        </w:p>
        <w:p w14:paraId="3F5F4300" w14:textId="17B95054" w:rsidR="00AE7893" w:rsidRDefault="286703DB">
          <w:pPr>
            <w:pStyle w:val="TOC1"/>
            <w:tabs>
              <w:tab w:val="right" w:leader="dot" w:pos="9396"/>
            </w:tabs>
            <w:rPr>
              <w:rFonts w:asciiTheme="minorHAnsi" w:hAnsiTheme="minorHAnsi"/>
              <w:noProof/>
              <w:szCs w:val="22"/>
              <w:lang w:val="de-DE" w:eastAsia="de-DE"/>
            </w:rPr>
          </w:pPr>
          <w:r>
            <w:fldChar w:fldCharType="begin"/>
          </w:r>
          <w:r w:rsidR="00D24EE0">
            <w:instrText>TOC \o "1-3" \h \z \u</w:instrText>
          </w:r>
          <w:r>
            <w:fldChar w:fldCharType="separate"/>
          </w:r>
          <w:hyperlink w:anchor="_Toc97126220" w:history="1">
            <w:r w:rsidR="00AE7893" w:rsidRPr="000E12CB">
              <w:rPr>
                <w:rStyle w:val="Hyperlink"/>
                <w:noProof/>
                <w:lang w:val="pt-PT"/>
              </w:rPr>
              <w:t>Contents</w:t>
            </w:r>
            <w:r w:rsidR="00AE7893">
              <w:rPr>
                <w:noProof/>
                <w:webHidden/>
              </w:rPr>
              <w:tab/>
            </w:r>
            <w:r w:rsidR="00AE7893">
              <w:rPr>
                <w:noProof/>
                <w:webHidden/>
              </w:rPr>
              <w:fldChar w:fldCharType="begin"/>
            </w:r>
            <w:r w:rsidR="00AE7893">
              <w:rPr>
                <w:noProof/>
                <w:webHidden/>
              </w:rPr>
              <w:instrText xml:space="preserve"> PAGEREF _Toc97126220 \h </w:instrText>
            </w:r>
            <w:r w:rsidR="00AE7893">
              <w:rPr>
                <w:noProof/>
                <w:webHidden/>
              </w:rPr>
            </w:r>
            <w:r w:rsidR="00AE7893">
              <w:rPr>
                <w:noProof/>
                <w:webHidden/>
              </w:rPr>
              <w:fldChar w:fldCharType="separate"/>
            </w:r>
            <w:r w:rsidR="00AE7893">
              <w:rPr>
                <w:noProof/>
                <w:webHidden/>
              </w:rPr>
              <w:t>3</w:t>
            </w:r>
            <w:r w:rsidR="00AE7893">
              <w:rPr>
                <w:noProof/>
                <w:webHidden/>
              </w:rPr>
              <w:fldChar w:fldCharType="end"/>
            </w:r>
          </w:hyperlink>
        </w:p>
        <w:p w14:paraId="449A37A8" w14:textId="66711ED7" w:rsidR="00AE7893" w:rsidRDefault="00B34E6F">
          <w:pPr>
            <w:pStyle w:val="TOC1"/>
            <w:tabs>
              <w:tab w:val="right" w:leader="dot" w:pos="9396"/>
            </w:tabs>
            <w:rPr>
              <w:rFonts w:asciiTheme="minorHAnsi" w:hAnsiTheme="minorHAnsi"/>
              <w:noProof/>
              <w:szCs w:val="22"/>
              <w:lang w:val="de-DE" w:eastAsia="de-DE"/>
            </w:rPr>
          </w:pPr>
          <w:hyperlink w:anchor="_Toc97126221" w:history="1">
            <w:r w:rsidR="00AE7893" w:rsidRPr="000E12CB">
              <w:rPr>
                <w:rStyle w:val="Hyperlink"/>
                <w:noProof/>
              </w:rPr>
              <w:t>Acknowledgements</w:t>
            </w:r>
            <w:r w:rsidR="00AE7893">
              <w:rPr>
                <w:noProof/>
                <w:webHidden/>
              </w:rPr>
              <w:tab/>
            </w:r>
            <w:r w:rsidR="00AE7893">
              <w:rPr>
                <w:noProof/>
                <w:webHidden/>
              </w:rPr>
              <w:fldChar w:fldCharType="begin"/>
            </w:r>
            <w:r w:rsidR="00AE7893">
              <w:rPr>
                <w:noProof/>
                <w:webHidden/>
              </w:rPr>
              <w:instrText xml:space="preserve"> PAGEREF _Toc97126221 \h </w:instrText>
            </w:r>
            <w:r w:rsidR="00AE7893">
              <w:rPr>
                <w:noProof/>
                <w:webHidden/>
              </w:rPr>
            </w:r>
            <w:r w:rsidR="00AE7893">
              <w:rPr>
                <w:noProof/>
                <w:webHidden/>
              </w:rPr>
              <w:fldChar w:fldCharType="separate"/>
            </w:r>
            <w:r w:rsidR="00AE7893">
              <w:rPr>
                <w:noProof/>
                <w:webHidden/>
              </w:rPr>
              <w:t>4</w:t>
            </w:r>
            <w:r w:rsidR="00AE7893">
              <w:rPr>
                <w:noProof/>
                <w:webHidden/>
              </w:rPr>
              <w:fldChar w:fldCharType="end"/>
            </w:r>
          </w:hyperlink>
        </w:p>
        <w:p w14:paraId="6B560E02" w14:textId="33011B3E" w:rsidR="00AE7893" w:rsidRDefault="00B34E6F">
          <w:pPr>
            <w:pStyle w:val="TOC1"/>
            <w:tabs>
              <w:tab w:val="right" w:leader="dot" w:pos="9396"/>
            </w:tabs>
            <w:rPr>
              <w:rFonts w:asciiTheme="minorHAnsi" w:hAnsiTheme="minorHAnsi"/>
              <w:noProof/>
              <w:szCs w:val="22"/>
              <w:lang w:val="de-DE" w:eastAsia="de-DE"/>
            </w:rPr>
          </w:pPr>
          <w:hyperlink w:anchor="_Toc97126222" w:history="1">
            <w:r w:rsidR="00AE7893" w:rsidRPr="000E12CB">
              <w:rPr>
                <w:rStyle w:val="Hyperlink"/>
                <w:noProof/>
              </w:rPr>
              <w:t>1 Introduction</w:t>
            </w:r>
            <w:r w:rsidR="00AE7893">
              <w:rPr>
                <w:noProof/>
                <w:webHidden/>
              </w:rPr>
              <w:tab/>
            </w:r>
            <w:r w:rsidR="00AE7893">
              <w:rPr>
                <w:noProof/>
                <w:webHidden/>
              </w:rPr>
              <w:fldChar w:fldCharType="begin"/>
            </w:r>
            <w:r w:rsidR="00AE7893">
              <w:rPr>
                <w:noProof/>
                <w:webHidden/>
              </w:rPr>
              <w:instrText xml:space="preserve"> PAGEREF _Toc97126222 \h </w:instrText>
            </w:r>
            <w:r w:rsidR="00AE7893">
              <w:rPr>
                <w:noProof/>
                <w:webHidden/>
              </w:rPr>
            </w:r>
            <w:r w:rsidR="00AE7893">
              <w:rPr>
                <w:noProof/>
                <w:webHidden/>
              </w:rPr>
              <w:fldChar w:fldCharType="separate"/>
            </w:r>
            <w:r w:rsidR="00AE7893">
              <w:rPr>
                <w:noProof/>
                <w:webHidden/>
              </w:rPr>
              <w:t>5</w:t>
            </w:r>
            <w:r w:rsidR="00AE7893">
              <w:rPr>
                <w:noProof/>
                <w:webHidden/>
              </w:rPr>
              <w:fldChar w:fldCharType="end"/>
            </w:r>
          </w:hyperlink>
        </w:p>
        <w:p w14:paraId="5F6444BB" w14:textId="1F47A573" w:rsidR="00AE7893" w:rsidRDefault="00B34E6F">
          <w:pPr>
            <w:pStyle w:val="TOC1"/>
            <w:tabs>
              <w:tab w:val="right" w:leader="dot" w:pos="9396"/>
            </w:tabs>
            <w:rPr>
              <w:rFonts w:asciiTheme="minorHAnsi" w:hAnsiTheme="minorHAnsi"/>
              <w:noProof/>
              <w:szCs w:val="22"/>
              <w:lang w:val="de-DE" w:eastAsia="de-DE"/>
            </w:rPr>
          </w:pPr>
          <w:hyperlink w:anchor="_Toc97126223" w:history="1">
            <w:r w:rsidR="00AE7893" w:rsidRPr="000E12CB">
              <w:rPr>
                <w:rStyle w:val="Hyperlink"/>
                <w:noProof/>
              </w:rPr>
              <w:t>2 Data sources</w:t>
            </w:r>
            <w:r w:rsidR="00AE7893">
              <w:rPr>
                <w:noProof/>
                <w:webHidden/>
              </w:rPr>
              <w:tab/>
            </w:r>
            <w:r w:rsidR="00AE7893">
              <w:rPr>
                <w:noProof/>
                <w:webHidden/>
              </w:rPr>
              <w:fldChar w:fldCharType="begin"/>
            </w:r>
            <w:r w:rsidR="00AE7893">
              <w:rPr>
                <w:noProof/>
                <w:webHidden/>
              </w:rPr>
              <w:instrText xml:space="preserve"> PAGEREF _Toc97126223 \h </w:instrText>
            </w:r>
            <w:r w:rsidR="00AE7893">
              <w:rPr>
                <w:noProof/>
                <w:webHidden/>
              </w:rPr>
            </w:r>
            <w:r w:rsidR="00AE7893">
              <w:rPr>
                <w:noProof/>
                <w:webHidden/>
              </w:rPr>
              <w:fldChar w:fldCharType="separate"/>
            </w:r>
            <w:r w:rsidR="00AE7893">
              <w:rPr>
                <w:noProof/>
                <w:webHidden/>
              </w:rPr>
              <w:t>6</w:t>
            </w:r>
            <w:r w:rsidR="00AE7893">
              <w:rPr>
                <w:noProof/>
                <w:webHidden/>
              </w:rPr>
              <w:fldChar w:fldCharType="end"/>
            </w:r>
          </w:hyperlink>
        </w:p>
        <w:p w14:paraId="24ADAA41" w14:textId="7906E544" w:rsidR="00AE7893" w:rsidRDefault="00B34E6F">
          <w:pPr>
            <w:pStyle w:val="TOC2"/>
            <w:tabs>
              <w:tab w:val="right" w:leader="dot" w:pos="9396"/>
            </w:tabs>
            <w:rPr>
              <w:rFonts w:asciiTheme="minorHAnsi" w:hAnsiTheme="minorHAnsi"/>
              <w:noProof/>
              <w:szCs w:val="22"/>
              <w:lang w:val="de-DE" w:eastAsia="de-DE"/>
            </w:rPr>
          </w:pPr>
          <w:hyperlink w:anchor="_Toc97126224" w:history="1">
            <w:r w:rsidR="00AE7893" w:rsidRPr="000E12CB">
              <w:rPr>
                <w:rStyle w:val="Hyperlink"/>
                <w:noProof/>
              </w:rPr>
              <w:t>2.1 EUTL</w:t>
            </w:r>
            <w:r w:rsidR="00AE7893">
              <w:rPr>
                <w:noProof/>
                <w:webHidden/>
              </w:rPr>
              <w:tab/>
            </w:r>
            <w:r w:rsidR="00AE7893">
              <w:rPr>
                <w:noProof/>
                <w:webHidden/>
              </w:rPr>
              <w:fldChar w:fldCharType="begin"/>
            </w:r>
            <w:r w:rsidR="00AE7893">
              <w:rPr>
                <w:noProof/>
                <w:webHidden/>
              </w:rPr>
              <w:instrText xml:space="preserve"> PAGEREF _Toc97126224 \h </w:instrText>
            </w:r>
            <w:r w:rsidR="00AE7893">
              <w:rPr>
                <w:noProof/>
                <w:webHidden/>
              </w:rPr>
            </w:r>
            <w:r w:rsidR="00AE7893">
              <w:rPr>
                <w:noProof/>
                <w:webHidden/>
              </w:rPr>
              <w:fldChar w:fldCharType="separate"/>
            </w:r>
            <w:r w:rsidR="00AE7893">
              <w:rPr>
                <w:noProof/>
                <w:webHidden/>
              </w:rPr>
              <w:t>6</w:t>
            </w:r>
            <w:r w:rsidR="00AE7893">
              <w:rPr>
                <w:noProof/>
                <w:webHidden/>
              </w:rPr>
              <w:fldChar w:fldCharType="end"/>
            </w:r>
          </w:hyperlink>
        </w:p>
        <w:p w14:paraId="35693DCE" w14:textId="3D6B0D33" w:rsidR="00AE7893" w:rsidRDefault="00B34E6F">
          <w:pPr>
            <w:pStyle w:val="TOC2"/>
            <w:tabs>
              <w:tab w:val="right" w:leader="dot" w:pos="9396"/>
            </w:tabs>
            <w:rPr>
              <w:rFonts w:asciiTheme="minorHAnsi" w:hAnsiTheme="minorHAnsi"/>
              <w:noProof/>
              <w:szCs w:val="22"/>
              <w:lang w:val="de-DE" w:eastAsia="de-DE"/>
            </w:rPr>
          </w:pPr>
          <w:hyperlink w:anchor="_Toc97126225" w:history="1">
            <w:r w:rsidR="00AE7893" w:rsidRPr="000E12CB">
              <w:rPr>
                <w:rStyle w:val="Hyperlink"/>
                <w:noProof/>
              </w:rPr>
              <w:t>2.1 EUTL</w:t>
            </w:r>
            <w:r w:rsidR="00AE7893">
              <w:rPr>
                <w:noProof/>
                <w:webHidden/>
              </w:rPr>
              <w:tab/>
            </w:r>
            <w:r w:rsidR="00AE7893">
              <w:rPr>
                <w:noProof/>
                <w:webHidden/>
              </w:rPr>
              <w:fldChar w:fldCharType="begin"/>
            </w:r>
            <w:r w:rsidR="00AE7893">
              <w:rPr>
                <w:noProof/>
                <w:webHidden/>
              </w:rPr>
              <w:instrText xml:space="preserve"> PAGEREF _Toc97126225 \h </w:instrText>
            </w:r>
            <w:r w:rsidR="00AE7893">
              <w:rPr>
                <w:noProof/>
                <w:webHidden/>
              </w:rPr>
            </w:r>
            <w:r w:rsidR="00AE7893">
              <w:rPr>
                <w:noProof/>
                <w:webHidden/>
              </w:rPr>
              <w:fldChar w:fldCharType="separate"/>
            </w:r>
            <w:r w:rsidR="00AE7893">
              <w:rPr>
                <w:noProof/>
                <w:webHidden/>
              </w:rPr>
              <w:t>6</w:t>
            </w:r>
            <w:r w:rsidR="00AE7893">
              <w:rPr>
                <w:noProof/>
                <w:webHidden/>
              </w:rPr>
              <w:fldChar w:fldCharType="end"/>
            </w:r>
          </w:hyperlink>
        </w:p>
        <w:p w14:paraId="2174D889" w14:textId="3FE3E64C" w:rsidR="00AE7893" w:rsidRDefault="00B34E6F">
          <w:pPr>
            <w:pStyle w:val="TOC3"/>
            <w:tabs>
              <w:tab w:val="right" w:leader="dot" w:pos="9396"/>
            </w:tabs>
            <w:rPr>
              <w:rFonts w:asciiTheme="minorHAnsi" w:hAnsiTheme="minorHAnsi"/>
              <w:noProof/>
              <w:szCs w:val="22"/>
              <w:lang w:val="de-DE" w:eastAsia="de-DE"/>
            </w:rPr>
          </w:pPr>
          <w:hyperlink w:anchor="_Toc97126226" w:history="1">
            <w:r w:rsidR="00AE7893" w:rsidRPr="000E12CB">
              <w:rPr>
                <w:rStyle w:val="Hyperlink"/>
                <w:noProof/>
              </w:rPr>
              <w:t>2.1.1 Main activity of individual entities</w:t>
            </w:r>
            <w:r w:rsidR="00AE7893">
              <w:rPr>
                <w:noProof/>
                <w:webHidden/>
              </w:rPr>
              <w:tab/>
            </w:r>
            <w:r w:rsidR="00AE7893">
              <w:rPr>
                <w:noProof/>
                <w:webHidden/>
              </w:rPr>
              <w:fldChar w:fldCharType="begin"/>
            </w:r>
            <w:r w:rsidR="00AE7893">
              <w:rPr>
                <w:noProof/>
                <w:webHidden/>
              </w:rPr>
              <w:instrText xml:space="preserve"> PAGEREF _Toc97126226 \h </w:instrText>
            </w:r>
            <w:r w:rsidR="00AE7893">
              <w:rPr>
                <w:noProof/>
                <w:webHidden/>
              </w:rPr>
            </w:r>
            <w:r w:rsidR="00AE7893">
              <w:rPr>
                <w:noProof/>
                <w:webHidden/>
              </w:rPr>
              <w:fldChar w:fldCharType="separate"/>
            </w:r>
            <w:r w:rsidR="00AE7893">
              <w:rPr>
                <w:noProof/>
                <w:webHidden/>
              </w:rPr>
              <w:t>6</w:t>
            </w:r>
            <w:r w:rsidR="00AE7893">
              <w:rPr>
                <w:noProof/>
                <w:webHidden/>
              </w:rPr>
              <w:fldChar w:fldCharType="end"/>
            </w:r>
          </w:hyperlink>
        </w:p>
        <w:p w14:paraId="1AA3CB4D" w14:textId="5B2763CB" w:rsidR="00AE7893" w:rsidRDefault="00B34E6F">
          <w:pPr>
            <w:pStyle w:val="TOC3"/>
            <w:tabs>
              <w:tab w:val="right" w:leader="dot" w:pos="9396"/>
            </w:tabs>
            <w:rPr>
              <w:rFonts w:asciiTheme="minorHAnsi" w:hAnsiTheme="minorHAnsi"/>
              <w:noProof/>
              <w:szCs w:val="22"/>
              <w:lang w:val="de-DE" w:eastAsia="de-DE"/>
            </w:rPr>
          </w:pPr>
          <w:hyperlink w:anchor="_Toc97126227" w:history="1">
            <w:r w:rsidR="00AE7893" w:rsidRPr="000E12CB">
              <w:rPr>
                <w:rStyle w:val="Hyperlink"/>
                <w:noProof/>
              </w:rPr>
              <w:t>2.2.2 Corrections to freely allocated allowances</w:t>
            </w:r>
            <w:r w:rsidR="00AE7893">
              <w:rPr>
                <w:noProof/>
                <w:webHidden/>
              </w:rPr>
              <w:tab/>
            </w:r>
            <w:r w:rsidR="00AE7893">
              <w:rPr>
                <w:noProof/>
                <w:webHidden/>
              </w:rPr>
              <w:fldChar w:fldCharType="begin"/>
            </w:r>
            <w:r w:rsidR="00AE7893">
              <w:rPr>
                <w:noProof/>
                <w:webHidden/>
              </w:rPr>
              <w:instrText xml:space="preserve"> PAGEREF _Toc97126227 \h </w:instrText>
            </w:r>
            <w:r w:rsidR="00AE7893">
              <w:rPr>
                <w:noProof/>
                <w:webHidden/>
              </w:rPr>
            </w:r>
            <w:r w:rsidR="00AE7893">
              <w:rPr>
                <w:noProof/>
                <w:webHidden/>
              </w:rPr>
              <w:fldChar w:fldCharType="separate"/>
            </w:r>
            <w:r w:rsidR="00AE7893">
              <w:rPr>
                <w:noProof/>
                <w:webHidden/>
              </w:rPr>
              <w:t>8</w:t>
            </w:r>
            <w:r w:rsidR="00AE7893">
              <w:rPr>
                <w:noProof/>
                <w:webHidden/>
              </w:rPr>
              <w:fldChar w:fldCharType="end"/>
            </w:r>
          </w:hyperlink>
        </w:p>
        <w:p w14:paraId="18BB000C" w14:textId="55B8965B" w:rsidR="00AE7893" w:rsidRDefault="00B34E6F">
          <w:pPr>
            <w:pStyle w:val="TOC3"/>
            <w:tabs>
              <w:tab w:val="right" w:leader="dot" w:pos="9396"/>
            </w:tabs>
            <w:rPr>
              <w:rFonts w:asciiTheme="minorHAnsi" w:hAnsiTheme="minorHAnsi"/>
              <w:noProof/>
              <w:szCs w:val="22"/>
              <w:lang w:val="de-DE" w:eastAsia="de-DE"/>
            </w:rPr>
          </w:pPr>
          <w:hyperlink w:anchor="_Toc97126228" w:history="1">
            <w:r w:rsidR="00AE7893" w:rsidRPr="000E12CB">
              <w:rPr>
                <w:rStyle w:val="Hyperlink"/>
                <w:noProof/>
              </w:rPr>
              <w:t>2.2.3 Auctions</w:t>
            </w:r>
            <w:r w:rsidR="00AE7893">
              <w:rPr>
                <w:noProof/>
                <w:webHidden/>
              </w:rPr>
              <w:tab/>
            </w:r>
            <w:r w:rsidR="00AE7893">
              <w:rPr>
                <w:noProof/>
                <w:webHidden/>
              </w:rPr>
              <w:fldChar w:fldCharType="begin"/>
            </w:r>
            <w:r w:rsidR="00AE7893">
              <w:rPr>
                <w:noProof/>
                <w:webHidden/>
              </w:rPr>
              <w:instrText xml:space="preserve"> PAGEREF _Toc97126228 \h </w:instrText>
            </w:r>
            <w:r w:rsidR="00AE7893">
              <w:rPr>
                <w:noProof/>
                <w:webHidden/>
              </w:rPr>
            </w:r>
            <w:r w:rsidR="00AE7893">
              <w:rPr>
                <w:noProof/>
                <w:webHidden/>
              </w:rPr>
              <w:fldChar w:fldCharType="separate"/>
            </w:r>
            <w:r w:rsidR="00AE7893">
              <w:rPr>
                <w:noProof/>
                <w:webHidden/>
              </w:rPr>
              <w:t>8</w:t>
            </w:r>
            <w:r w:rsidR="00AE7893">
              <w:rPr>
                <w:noProof/>
                <w:webHidden/>
              </w:rPr>
              <w:fldChar w:fldCharType="end"/>
            </w:r>
          </w:hyperlink>
        </w:p>
        <w:p w14:paraId="58FD933E" w14:textId="2A29AEF7" w:rsidR="00AE7893" w:rsidRDefault="00B34E6F">
          <w:pPr>
            <w:pStyle w:val="TOC3"/>
            <w:tabs>
              <w:tab w:val="right" w:leader="dot" w:pos="9396"/>
            </w:tabs>
            <w:rPr>
              <w:rFonts w:asciiTheme="minorHAnsi" w:hAnsiTheme="minorHAnsi"/>
              <w:noProof/>
              <w:szCs w:val="22"/>
              <w:lang w:val="de-DE" w:eastAsia="de-DE"/>
            </w:rPr>
          </w:pPr>
          <w:hyperlink w:anchor="_Toc97126229" w:history="1">
            <w:r w:rsidR="00AE7893" w:rsidRPr="000E12CB">
              <w:rPr>
                <w:rStyle w:val="Hyperlink"/>
                <w:noProof/>
              </w:rPr>
              <w:t>2.2.4 Estimates für 2008-2012 to reflect the current scope of EU ETS</w:t>
            </w:r>
            <w:r w:rsidR="00AE7893">
              <w:rPr>
                <w:noProof/>
                <w:webHidden/>
              </w:rPr>
              <w:tab/>
            </w:r>
            <w:r w:rsidR="00AE7893">
              <w:rPr>
                <w:noProof/>
                <w:webHidden/>
              </w:rPr>
              <w:fldChar w:fldCharType="begin"/>
            </w:r>
            <w:r w:rsidR="00AE7893">
              <w:rPr>
                <w:noProof/>
                <w:webHidden/>
              </w:rPr>
              <w:instrText xml:space="preserve"> PAGEREF _Toc97126229 \h </w:instrText>
            </w:r>
            <w:r w:rsidR="00AE7893">
              <w:rPr>
                <w:noProof/>
                <w:webHidden/>
              </w:rPr>
            </w:r>
            <w:r w:rsidR="00AE7893">
              <w:rPr>
                <w:noProof/>
                <w:webHidden/>
              </w:rPr>
              <w:fldChar w:fldCharType="separate"/>
            </w:r>
            <w:r w:rsidR="00AE7893">
              <w:rPr>
                <w:noProof/>
                <w:webHidden/>
              </w:rPr>
              <w:t>8</w:t>
            </w:r>
            <w:r w:rsidR="00AE7893">
              <w:rPr>
                <w:noProof/>
                <w:webHidden/>
              </w:rPr>
              <w:fldChar w:fldCharType="end"/>
            </w:r>
          </w:hyperlink>
        </w:p>
        <w:p w14:paraId="130684EC" w14:textId="79DE0AE1" w:rsidR="00AE7893" w:rsidRDefault="00B34E6F">
          <w:pPr>
            <w:pStyle w:val="TOC1"/>
            <w:tabs>
              <w:tab w:val="right" w:leader="dot" w:pos="9396"/>
            </w:tabs>
            <w:rPr>
              <w:rFonts w:asciiTheme="minorHAnsi" w:hAnsiTheme="minorHAnsi"/>
              <w:noProof/>
              <w:szCs w:val="22"/>
              <w:lang w:val="de-DE" w:eastAsia="de-DE"/>
            </w:rPr>
          </w:pPr>
          <w:hyperlink w:anchor="_Toc97126230" w:history="1">
            <w:r w:rsidR="00AE7893" w:rsidRPr="000E12CB">
              <w:rPr>
                <w:rStyle w:val="Hyperlink"/>
                <w:noProof/>
              </w:rPr>
              <w:t>3 Regional disaggregation</w:t>
            </w:r>
            <w:r w:rsidR="00AE7893">
              <w:rPr>
                <w:noProof/>
                <w:webHidden/>
              </w:rPr>
              <w:tab/>
            </w:r>
            <w:r w:rsidR="00AE7893">
              <w:rPr>
                <w:noProof/>
                <w:webHidden/>
              </w:rPr>
              <w:fldChar w:fldCharType="begin"/>
            </w:r>
            <w:r w:rsidR="00AE7893">
              <w:rPr>
                <w:noProof/>
                <w:webHidden/>
              </w:rPr>
              <w:instrText xml:space="preserve"> PAGEREF _Toc97126230 \h </w:instrText>
            </w:r>
            <w:r w:rsidR="00AE7893">
              <w:rPr>
                <w:noProof/>
                <w:webHidden/>
              </w:rPr>
            </w:r>
            <w:r w:rsidR="00AE7893">
              <w:rPr>
                <w:noProof/>
                <w:webHidden/>
              </w:rPr>
              <w:fldChar w:fldCharType="separate"/>
            </w:r>
            <w:r w:rsidR="00AE7893">
              <w:rPr>
                <w:noProof/>
                <w:webHidden/>
              </w:rPr>
              <w:t>9</w:t>
            </w:r>
            <w:r w:rsidR="00AE7893">
              <w:rPr>
                <w:noProof/>
                <w:webHidden/>
              </w:rPr>
              <w:fldChar w:fldCharType="end"/>
            </w:r>
          </w:hyperlink>
        </w:p>
        <w:p w14:paraId="7C260B93" w14:textId="4B1075E0" w:rsidR="00AE7893" w:rsidRDefault="00B34E6F">
          <w:pPr>
            <w:pStyle w:val="TOC1"/>
            <w:tabs>
              <w:tab w:val="right" w:leader="dot" w:pos="9396"/>
            </w:tabs>
            <w:rPr>
              <w:rFonts w:asciiTheme="minorHAnsi" w:hAnsiTheme="minorHAnsi"/>
              <w:noProof/>
              <w:szCs w:val="22"/>
              <w:lang w:val="de-DE" w:eastAsia="de-DE"/>
            </w:rPr>
          </w:pPr>
          <w:hyperlink w:anchor="_Toc97126231" w:history="1">
            <w:r w:rsidR="00AE7893" w:rsidRPr="000E12CB">
              <w:rPr>
                <w:rStyle w:val="Hyperlink"/>
                <w:noProof/>
              </w:rPr>
              <w:t>4 Temporal disaggregation</w:t>
            </w:r>
            <w:r w:rsidR="00AE7893">
              <w:rPr>
                <w:noProof/>
                <w:webHidden/>
              </w:rPr>
              <w:tab/>
            </w:r>
            <w:r w:rsidR="00AE7893">
              <w:rPr>
                <w:noProof/>
                <w:webHidden/>
              </w:rPr>
              <w:fldChar w:fldCharType="begin"/>
            </w:r>
            <w:r w:rsidR="00AE7893">
              <w:rPr>
                <w:noProof/>
                <w:webHidden/>
              </w:rPr>
              <w:instrText xml:space="preserve"> PAGEREF _Toc97126231 \h </w:instrText>
            </w:r>
            <w:r w:rsidR="00AE7893">
              <w:rPr>
                <w:noProof/>
                <w:webHidden/>
              </w:rPr>
            </w:r>
            <w:r w:rsidR="00AE7893">
              <w:rPr>
                <w:noProof/>
                <w:webHidden/>
              </w:rPr>
              <w:fldChar w:fldCharType="separate"/>
            </w:r>
            <w:r w:rsidR="00AE7893">
              <w:rPr>
                <w:noProof/>
                <w:webHidden/>
              </w:rPr>
              <w:t>10</w:t>
            </w:r>
            <w:r w:rsidR="00AE7893">
              <w:rPr>
                <w:noProof/>
                <w:webHidden/>
              </w:rPr>
              <w:fldChar w:fldCharType="end"/>
            </w:r>
          </w:hyperlink>
        </w:p>
        <w:p w14:paraId="5A970F4C" w14:textId="3FA6D76D" w:rsidR="00AE7893" w:rsidRDefault="00B34E6F">
          <w:pPr>
            <w:pStyle w:val="TOC1"/>
            <w:tabs>
              <w:tab w:val="right" w:leader="dot" w:pos="9396"/>
            </w:tabs>
            <w:rPr>
              <w:rFonts w:asciiTheme="minorHAnsi" w:hAnsiTheme="minorHAnsi"/>
              <w:noProof/>
              <w:szCs w:val="22"/>
              <w:lang w:val="de-DE" w:eastAsia="de-DE"/>
            </w:rPr>
          </w:pPr>
          <w:hyperlink w:anchor="_Toc97126232" w:history="1">
            <w:r w:rsidR="00AE7893" w:rsidRPr="000E12CB">
              <w:rPr>
                <w:rStyle w:val="Hyperlink"/>
                <w:noProof/>
              </w:rPr>
              <w:t>5 Information</w:t>
            </w:r>
            <w:r w:rsidR="00AE7893">
              <w:rPr>
                <w:noProof/>
                <w:webHidden/>
              </w:rPr>
              <w:tab/>
            </w:r>
            <w:r w:rsidR="00AE7893">
              <w:rPr>
                <w:noProof/>
                <w:webHidden/>
              </w:rPr>
              <w:fldChar w:fldCharType="begin"/>
            </w:r>
            <w:r w:rsidR="00AE7893">
              <w:rPr>
                <w:noProof/>
                <w:webHidden/>
              </w:rPr>
              <w:instrText xml:space="preserve"> PAGEREF _Toc97126232 \h </w:instrText>
            </w:r>
            <w:r w:rsidR="00AE7893">
              <w:rPr>
                <w:noProof/>
                <w:webHidden/>
              </w:rPr>
            </w:r>
            <w:r w:rsidR="00AE7893">
              <w:rPr>
                <w:noProof/>
                <w:webHidden/>
              </w:rPr>
              <w:fldChar w:fldCharType="separate"/>
            </w:r>
            <w:r w:rsidR="00AE7893">
              <w:rPr>
                <w:noProof/>
                <w:webHidden/>
              </w:rPr>
              <w:t>10</w:t>
            </w:r>
            <w:r w:rsidR="00AE7893">
              <w:rPr>
                <w:noProof/>
                <w:webHidden/>
              </w:rPr>
              <w:fldChar w:fldCharType="end"/>
            </w:r>
          </w:hyperlink>
        </w:p>
        <w:p w14:paraId="7032AB0D" w14:textId="285CBEA3" w:rsidR="00AE7893" w:rsidRDefault="00B34E6F">
          <w:pPr>
            <w:pStyle w:val="TOC1"/>
            <w:tabs>
              <w:tab w:val="right" w:leader="dot" w:pos="9396"/>
            </w:tabs>
            <w:rPr>
              <w:rFonts w:asciiTheme="minorHAnsi" w:hAnsiTheme="minorHAnsi"/>
              <w:noProof/>
              <w:szCs w:val="22"/>
              <w:lang w:val="de-DE" w:eastAsia="de-DE"/>
            </w:rPr>
          </w:pPr>
          <w:hyperlink w:anchor="_Toc97126233" w:history="1">
            <w:r w:rsidR="00AE7893" w:rsidRPr="000E12CB">
              <w:rPr>
                <w:rStyle w:val="Hyperlink"/>
                <w:noProof/>
              </w:rPr>
              <w:t>6 Activity</w:t>
            </w:r>
            <w:r w:rsidR="00AE7893">
              <w:rPr>
                <w:noProof/>
                <w:webHidden/>
              </w:rPr>
              <w:tab/>
            </w:r>
            <w:r w:rsidR="00AE7893">
              <w:rPr>
                <w:noProof/>
                <w:webHidden/>
              </w:rPr>
              <w:fldChar w:fldCharType="begin"/>
            </w:r>
            <w:r w:rsidR="00AE7893">
              <w:rPr>
                <w:noProof/>
                <w:webHidden/>
              </w:rPr>
              <w:instrText xml:space="preserve"> PAGEREF _Toc97126233 \h </w:instrText>
            </w:r>
            <w:r w:rsidR="00AE7893">
              <w:rPr>
                <w:noProof/>
                <w:webHidden/>
              </w:rPr>
            </w:r>
            <w:r w:rsidR="00AE7893">
              <w:rPr>
                <w:noProof/>
                <w:webHidden/>
              </w:rPr>
              <w:fldChar w:fldCharType="separate"/>
            </w:r>
            <w:r w:rsidR="00AE7893">
              <w:rPr>
                <w:noProof/>
                <w:webHidden/>
              </w:rPr>
              <w:t>12</w:t>
            </w:r>
            <w:r w:rsidR="00AE7893">
              <w:rPr>
                <w:noProof/>
                <w:webHidden/>
              </w:rPr>
              <w:fldChar w:fldCharType="end"/>
            </w:r>
          </w:hyperlink>
        </w:p>
        <w:p w14:paraId="62D906C2" w14:textId="4A108B1D" w:rsidR="00AE7893" w:rsidRDefault="00B34E6F">
          <w:pPr>
            <w:pStyle w:val="TOC2"/>
            <w:tabs>
              <w:tab w:val="right" w:leader="dot" w:pos="9396"/>
            </w:tabs>
            <w:rPr>
              <w:rFonts w:asciiTheme="minorHAnsi" w:hAnsiTheme="minorHAnsi"/>
              <w:noProof/>
              <w:szCs w:val="22"/>
              <w:lang w:val="de-DE" w:eastAsia="de-DE"/>
            </w:rPr>
          </w:pPr>
          <w:hyperlink w:anchor="_Toc97126234" w:history="1">
            <w:r w:rsidR="00AE7893" w:rsidRPr="000E12CB">
              <w:rPr>
                <w:rStyle w:val="Hyperlink"/>
                <w:noProof/>
              </w:rPr>
              <w:t>6.1 Translation of activity codes</w:t>
            </w:r>
            <w:r w:rsidR="00AE7893">
              <w:rPr>
                <w:noProof/>
                <w:webHidden/>
              </w:rPr>
              <w:tab/>
            </w:r>
            <w:r w:rsidR="00AE7893">
              <w:rPr>
                <w:noProof/>
                <w:webHidden/>
              </w:rPr>
              <w:fldChar w:fldCharType="begin"/>
            </w:r>
            <w:r w:rsidR="00AE7893">
              <w:rPr>
                <w:noProof/>
                <w:webHidden/>
              </w:rPr>
              <w:instrText xml:space="preserve"> PAGEREF _Toc97126234 \h </w:instrText>
            </w:r>
            <w:r w:rsidR="00AE7893">
              <w:rPr>
                <w:noProof/>
                <w:webHidden/>
              </w:rPr>
            </w:r>
            <w:r w:rsidR="00AE7893">
              <w:rPr>
                <w:noProof/>
                <w:webHidden/>
              </w:rPr>
              <w:fldChar w:fldCharType="separate"/>
            </w:r>
            <w:r w:rsidR="00AE7893">
              <w:rPr>
                <w:noProof/>
                <w:webHidden/>
              </w:rPr>
              <w:t>12</w:t>
            </w:r>
            <w:r w:rsidR="00AE7893">
              <w:rPr>
                <w:noProof/>
                <w:webHidden/>
              </w:rPr>
              <w:fldChar w:fldCharType="end"/>
            </w:r>
          </w:hyperlink>
        </w:p>
        <w:p w14:paraId="3AE53631" w14:textId="01682479" w:rsidR="00AE7893" w:rsidRDefault="00B34E6F">
          <w:pPr>
            <w:pStyle w:val="TOC2"/>
            <w:tabs>
              <w:tab w:val="right" w:leader="dot" w:pos="9396"/>
            </w:tabs>
            <w:rPr>
              <w:rFonts w:asciiTheme="minorHAnsi" w:hAnsiTheme="minorHAnsi"/>
              <w:noProof/>
              <w:szCs w:val="22"/>
              <w:lang w:val="de-DE" w:eastAsia="de-DE"/>
            </w:rPr>
          </w:pPr>
          <w:hyperlink w:anchor="_Toc97126235" w:history="1">
            <w:r w:rsidR="00AE7893" w:rsidRPr="000E12CB">
              <w:rPr>
                <w:rStyle w:val="Hyperlink"/>
                <w:noProof/>
              </w:rPr>
              <w:t>6.2 Information on stationary installations covered</w:t>
            </w:r>
            <w:r w:rsidR="00AE7893">
              <w:rPr>
                <w:noProof/>
                <w:webHidden/>
              </w:rPr>
              <w:tab/>
            </w:r>
            <w:r w:rsidR="00AE7893">
              <w:rPr>
                <w:noProof/>
                <w:webHidden/>
              </w:rPr>
              <w:fldChar w:fldCharType="begin"/>
            </w:r>
            <w:r w:rsidR="00AE7893">
              <w:rPr>
                <w:noProof/>
                <w:webHidden/>
              </w:rPr>
              <w:instrText xml:space="preserve"> PAGEREF _Toc97126235 \h </w:instrText>
            </w:r>
            <w:r w:rsidR="00AE7893">
              <w:rPr>
                <w:noProof/>
                <w:webHidden/>
              </w:rPr>
            </w:r>
            <w:r w:rsidR="00AE7893">
              <w:rPr>
                <w:noProof/>
                <w:webHidden/>
              </w:rPr>
              <w:fldChar w:fldCharType="separate"/>
            </w:r>
            <w:r w:rsidR="00AE7893">
              <w:rPr>
                <w:noProof/>
                <w:webHidden/>
              </w:rPr>
              <w:t>15</w:t>
            </w:r>
            <w:r w:rsidR="00AE7893">
              <w:rPr>
                <w:noProof/>
                <w:webHidden/>
              </w:rPr>
              <w:fldChar w:fldCharType="end"/>
            </w:r>
          </w:hyperlink>
        </w:p>
        <w:p w14:paraId="065CB6FE" w14:textId="440C7CB1" w:rsidR="00AE7893" w:rsidRDefault="00B34E6F">
          <w:pPr>
            <w:pStyle w:val="TOC2"/>
            <w:tabs>
              <w:tab w:val="right" w:leader="dot" w:pos="9396"/>
            </w:tabs>
            <w:rPr>
              <w:rFonts w:asciiTheme="minorHAnsi" w:hAnsiTheme="minorHAnsi"/>
              <w:noProof/>
              <w:szCs w:val="22"/>
              <w:lang w:val="de-DE" w:eastAsia="de-DE"/>
            </w:rPr>
          </w:pPr>
          <w:hyperlink w:anchor="_Toc97126236" w:history="1">
            <w:r w:rsidR="00AE7893" w:rsidRPr="000E12CB">
              <w:rPr>
                <w:rStyle w:val="Hyperlink"/>
                <w:noProof/>
              </w:rPr>
              <w:t>6.3 Information on aviation operators covered</w:t>
            </w:r>
            <w:r w:rsidR="00AE7893">
              <w:rPr>
                <w:noProof/>
                <w:webHidden/>
              </w:rPr>
              <w:tab/>
            </w:r>
            <w:r w:rsidR="00AE7893">
              <w:rPr>
                <w:noProof/>
                <w:webHidden/>
              </w:rPr>
              <w:fldChar w:fldCharType="begin"/>
            </w:r>
            <w:r w:rsidR="00AE7893">
              <w:rPr>
                <w:noProof/>
                <w:webHidden/>
              </w:rPr>
              <w:instrText xml:space="preserve"> PAGEREF _Toc97126236 \h </w:instrText>
            </w:r>
            <w:r w:rsidR="00AE7893">
              <w:rPr>
                <w:noProof/>
                <w:webHidden/>
              </w:rPr>
            </w:r>
            <w:r w:rsidR="00AE7893">
              <w:rPr>
                <w:noProof/>
                <w:webHidden/>
              </w:rPr>
              <w:fldChar w:fldCharType="separate"/>
            </w:r>
            <w:r w:rsidR="00AE7893">
              <w:rPr>
                <w:noProof/>
                <w:webHidden/>
              </w:rPr>
              <w:t>16</w:t>
            </w:r>
            <w:r w:rsidR="00AE7893">
              <w:rPr>
                <w:noProof/>
                <w:webHidden/>
              </w:rPr>
              <w:fldChar w:fldCharType="end"/>
            </w:r>
          </w:hyperlink>
        </w:p>
        <w:p w14:paraId="2DE4E2CD" w14:textId="57FDFAEB" w:rsidR="00AE7893" w:rsidRDefault="00B34E6F">
          <w:pPr>
            <w:pStyle w:val="TOC1"/>
            <w:tabs>
              <w:tab w:val="right" w:leader="dot" w:pos="9396"/>
            </w:tabs>
            <w:rPr>
              <w:rFonts w:asciiTheme="minorHAnsi" w:hAnsiTheme="minorHAnsi"/>
              <w:noProof/>
              <w:szCs w:val="22"/>
              <w:lang w:val="de-DE" w:eastAsia="de-DE"/>
            </w:rPr>
          </w:pPr>
          <w:hyperlink w:anchor="_Toc97126237" w:history="1">
            <w:r w:rsidR="00AE7893" w:rsidRPr="000E12CB">
              <w:rPr>
                <w:rStyle w:val="Hyperlink"/>
                <w:noProof/>
              </w:rPr>
              <w:t>7 Size of entities</w:t>
            </w:r>
            <w:r w:rsidR="00AE7893">
              <w:rPr>
                <w:noProof/>
                <w:webHidden/>
              </w:rPr>
              <w:tab/>
            </w:r>
            <w:r w:rsidR="00AE7893">
              <w:rPr>
                <w:noProof/>
                <w:webHidden/>
              </w:rPr>
              <w:fldChar w:fldCharType="begin"/>
            </w:r>
            <w:r w:rsidR="00AE7893">
              <w:rPr>
                <w:noProof/>
                <w:webHidden/>
              </w:rPr>
              <w:instrText xml:space="preserve"> PAGEREF _Toc97126237 \h </w:instrText>
            </w:r>
            <w:r w:rsidR="00AE7893">
              <w:rPr>
                <w:noProof/>
                <w:webHidden/>
              </w:rPr>
            </w:r>
            <w:r w:rsidR="00AE7893">
              <w:rPr>
                <w:noProof/>
                <w:webHidden/>
              </w:rPr>
              <w:fldChar w:fldCharType="separate"/>
            </w:r>
            <w:r w:rsidR="00AE7893">
              <w:rPr>
                <w:noProof/>
                <w:webHidden/>
              </w:rPr>
              <w:t>17</w:t>
            </w:r>
            <w:r w:rsidR="00AE7893">
              <w:rPr>
                <w:noProof/>
                <w:webHidden/>
              </w:rPr>
              <w:fldChar w:fldCharType="end"/>
            </w:r>
          </w:hyperlink>
        </w:p>
        <w:p w14:paraId="40DD929D" w14:textId="4D38F6B2" w:rsidR="00AE7893" w:rsidRDefault="00B34E6F">
          <w:pPr>
            <w:pStyle w:val="TOC1"/>
            <w:tabs>
              <w:tab w:val="right" w:leader="dot" w:pos="9396"/>
            </w:tabs>
            <w:rPr>
              <w:rFonts w:asciiTheme="minorHAnsi" w:hAnsiTheme="minorHAnsi"/>
              <w:noProof/>
              <w:szCs w:val="22"/>
              <w:lang w:val="de-DE" w:eastAsia="de-DE"/>
            </w:rPr>
          </w:pPr>
          <w:hyperlink w:anchor="_Toc97126238" w:history="1">
            <w:r w:rsidR="00AE7893" w:rsidRPr="000E12CB">
              <w:rPr>
                <w:rStyle w:val="Hyperlink"/>
                <w:noProof/>
              </w:rPr>
              <w:t>8 Number of entities</w:t>
            </w:r>
            <w:r w:rsidR="00AE7893">
              <w:rPr>
                <w:noProof/>
                <w:webHidden/>
              </w:rPr>
              <w:tab/>
            </w:r>
            <w:r w:rsidR="00AE7893">
              <w:rPr>
                <w:noProof/>
                <w:webHidden/>
              </w:rPr>
              <w:fldChar w:fldCharType="begin"/>
            </w:r>
            <w:r w:rsidR="00AE7893">
              <w:rPr>
                <w:noProof/>
                <w:webHidden/>
              </w:rPr>
              <w:instrText xml:space="preserve"> PAGEREF _Toc97126238 \h </w:instrText>
            </w:r>
            <w:r w:rsidR="00AE7893">
              <w:rPr>
                <w:noProof/>
                <w:webHidden/>
              </w:rPr>
            </w:r>
            <w:r w:rsidR="00AE7893">
              <w:rPr>
                <w:noProof/>
                <w:webHidden/>
              </w:rPr>
              <w:fldChar w:fldCharType="separate"/>
            </w:r>
            <w:r w:rsidR="00AE7893">
              <w:rPr>
                <w:noProof/>
                <w:webHidden/>
              </w:rPr>
              <w:t>17</w:t>
            </w:r>
            <w:r w:rsidR="00AE7893">
              <w:rPr>
                <w:noProof/>
                <w:webHidden/>
              </w:rPr>
              <w:fldChar w:fldCharType="end"/>
            </w:r>
          </w:hyperlink>
        </w:p>
        <w:p w14:paraId="0F4E5719" w14:textId="22D4BF98" w:rsidR="00AE7893" w:rsidRDefault="00B34E6F">
          <w:pPr>
            <w:pStyle w:val="TOC1"/>
            <w:tabs>
              <w:tab w:val="right" w:leader="dot" w:pos="9396"/>
            </w:tabs>
            <w:rPr>
              <w:rFonts w:asciiTheme="minorHAnsi" w:hAnsiTheme="minorHAnsi"/>
              <w:noProof/>
              <w:szCs w:val="22"/>
              <w:lang w:val="de-DE" w:eastAsia="de-DE"/>
            </w:rPr>
          </w:pPr>
          <w:hyperlink w:anchor="_Toc97126239" w:history="1">
            <w:r w:rsidR="00AE7893" w:rsidRPr="000E12CB">
              <w:rPr>
                <w:rStyle w:val="Hyperlink"/>
                <w:noProof/>
              </w:rPr>
              <w:t>9 Measures</w:t>
            </w:r>
            <w:r w:rsidR="00AE7893">
              <w:rPr>
                <w:noProof/>
                <w:webHidden/>
              </w:rPr>
              <w:tab/>
            </w:r>
            <w:r w:rsidR="00AE7893">
              <w:rPr>
                <w:noProof/>
                <w:webHidden/>
              </w:rPr>
              <w:fldChar w:fldCharType="begin"/>
            </w:r>
            <w:r w:rsidR="00AE7893">
              <w:rPr>
                <w:noProof/>
                <w:webHidden/>
              </w:rPr>
              <w:instrText xml:space="preserve"> PAGEREF _Toc97126239 \h </w:instrText>
            </w:r>
            <w:r w:rsidR="00AE7893">
              <w:rPr>
                <w:noProof/>
                <w:webHidden/>
              </w:rPr>
            </w:r>
            <w:r w:rsidR="00AE7893">
              <w:rPr>
                <w:noProof/>
                <w:webHidden/>
              </w:rPr>
              <w:fldChar w:fldCharType="separate"/>
            </w:r>
            <w:r w:rsidR="00AE7893">
              <w:rPr>
                <w:noProof/>
                <w:webHidden/>
              </w:rPr>
              <w:t>18</w:t>
            </w:r>
            <w:r w:rsidR="00AE7893">
              <w:rPr>
                <w:noProof/>
                <w:webHidden/>
              </w:rPr>
              <w:fldChar w:fldCharType="end"/>
            </w:r>
          </w:hyperlink>
        </w:p>
        <w:p w14:paraId="4B700730" w14:textId="2F569382" w:rsidR="00AE7893" w:rsidRDefault="00B34E6F">
          <w:pPr>
            <w:pStyle w:val="TOC1"/>
            <w:tabs>
              <w:tab w:val="right" w:leader="dot" w:pos="9396"/>
            </w:tabs>
            <w:rPr>
              <w:rFonts w:asciiTheme="minorHAnsi" w:hAnsiTheme="minorHAnsi"/>
              <w:noProof/>
              <w:szCs w:val="22"/>
              <w:lang w:val="de-DE" w:eastAsia="de-DE"/>
            </w:rPr>
          </w:pPr>
          <w:hyperlink w:anchor="_Toc97126240" w:history="1">
            <w:r w:rsidR="00AE7893" w:rsidRPr="000E12CB">
              <w:rPr>
                <w:rStyle w:val="Hyperlink"/>
                <w:noProof/>
              </w:rPr>
              <w:t>10 Gases</w:t>
            </w:r>
            <w:r w:rsidR="00AE7893">
              <w:rPr>
                <w:noProof/>
                <w:webHidden/>
              </w:rPr>
              <w:tab/>
            </w:r>
            <w:r w:rsidR="00AE7893">
              <w:rPr>
                <w:noProof/>
                <w:webHidden/>
              </w:rPr>
              <w:fldChar w:fldCharType="begin"/>
            </w:r>
            <w:r w:rsidR="00AE7893">
              <w:rPr>
                <w:noProof/>
                <w:webHidden/>
              </w:rPr>
              <w:instrText xml:space="preserve"> PAGEREF _Toc97126240 \h </w:instrText>
            </w:r>
            <w:r w:rsidR="00AE7893">
              <w:rPr>
                <w:noProof/>
                <w:webHidden/>
              </w:rPr>
            </w:r>
            <w:r w:rsidR="00AE7893">
              <w:rPr>
                <w:noProof/>
                <w:webHidden/>
              </w:rPr>
              <w:fldChar w:fldCharType="separate"/>
            </w:r>
            <w:r w:rsidR="00AE7893">
              <w:rPr>
                <w:noProof/>
                <w:webHidden/>
              </w:rPr>
              <w:t>18</w:t>
            </w:r>
            <w:r w:rsidR="00AE7893">
              <w:rPr>
                <w:noProof/>
                <w:webHidden/>
              </w:rPr>
              <w:fldChar w:fldCharType="end"/>
            </w:r>
          </w:hyperlink>
        </w:p>
        <w:p w14:paraId="23D0A39E" w14:textId="6EFB80B9" w:rsidR="00AE7893" w:rsidRDefault="00B34E6F">
          <w:pPr>
            <w:pStyle w:val="TOC1"/>
            <w:tabs>
              <w:tab w:val="right" w:leader="dot" w:pos="9396"/>
            </w:tabs>
            <w:rPr>
              <w:rFonts w:asciiTheme="minorHAnsi" w:hAnsiTheme="minorHAnsi"/>
              <w:noProof/>
              <w:szCs w:val="22"/>
              <w:lang w:val="de-DE" w:eastAsia="de-DE"/>
            </w:rPr>
          </w:pPr>
          <w:hyperlink w:anchor="_Toc97126241" w:history="1">
            <w:r w:rsidR="00AE7893" w:rsidRPr="000E12CB">
              <w:rPr>
                <w:rStyle w:val="Hyperlink"/>
                <w:noProof/>
              </w:rPr>
              <w:t>11 Annex</w:t>
            </w:r>
            <w:r w:rsidR="00AE7893">
              <w:rPr>
                <w:noProof/>
                <w:webHidden/>
              </w:rPr>
              <w:tab/>
            </w:r>
            <w:r w:rsidR="00AE7893">
              <w:rPr>
                <w:noProof/>
                <w:webHidden/>
              </w:rPr>
              <w:fldChar w:fldCharType="begin"/>
            </w:r>
            <w:r w:rsidR="00AE7893">
              <w:rPr>
                <w:noProof/>
                <w:webHidden/>
              </w:rPr>
              <w:instrText xml:space="preserve"> PAGEREF _Toc97126241 \h </w:instrText>
            </w:r>
            <w:r w:rsidR="00AE7893">
              <w:rPr>
                <w:noProof/>
                <w:webHidden/>
              </w:rPr>
            </w:r>
            <w:r w:rsidR="00AE7893">
              <w:rPr>
                <w:noProof/>
                <w:webHidden/>
              </w:rPr>
              <w:fldChar w:fldCharType="separate"/>
            </w:r>
            <w:r w:rsidR="00AE7893">
              <w:rPr>
                <w:noProof/>
                <w:webHidden/>
              </w:rPr>
              <w:t>18</w:t>
            </w:r>
            <w:r w:rsidR="00AE7893">
              <w:rPr>
                <w:noProof/>
                <w:webHidden/>
              </w:rPr>
              <w:fldChar w:fldCharType="end"/>
            </w:r>
          </w:hyperlink>
        </w:p>
        <w:p w14:paraId="16219C73" w14:textId="08D3D0E5" w:rsidR="00AE7893" w:rsidRDefault="00B34E6F">
          <w:pPr>
            <w:pStyle w:val="TOC2"/>
            <w:tabs>
              <w:tab w:val="right" w:leader="dot" w:pos="9396"/>
            </w:tabs>
            <w:rPr>
              <w:rFonts w:asciiTheme="minorHAnsi" w:hAnsiTheme="minorHAnsi"/>
              <w:noProof/>
              <w:szCs w:val="22"/>
              <w:lang w:val="de-DE" w:eastAsia="de-DE"/>
            </w:rPr>
          </w:pPr>
          <w:hyperlink w:anchor="_Toc97126242" w:history="1">
            <w:r w:rsidR="00AE7893" w:rsidRPr="000E12CB">
              <w:rPr>
                <w:rStyle w:val="Hyperlink"/>
                <w:noProof/>
              </w:rPr>
              <w:t>11.1 Stationary installations</w:t>
            </w:r>
            <w:r w:rsidR="00AE7893">
              <w:rPr>
                <w:noProof/>
                <w:webHidden/>
              </w:rPr>
              <w:tab/>
            </w:r>
            <w:r w:rsidR="00AE7893">
              <w:rPr>
                <w:noProof/>
                <w:webHidden/>
              </w:rPr>
              <w:fldChar w:fldCharType="begin"/>
            </w:r>
            <w:r w:rsidR="00AE7893">
              <w:rPr>
                <w:noProof/>
                <w:webHidden/>
              </w:rPr>
              <w:instrText xml:space="preserve"> PAGEREF _Toc97126242 \h </w:instrText>
            </w:r>
            <w:r w:rsidR="00AE7893">
              <w:rPr>
                <w:noProof/>
                <w:webHidden/>
              </w:rPr>
            </w:r>
            <w:r w:rsidR="00AE7893">
              <w:rPr>
                <w:noProof/>
                <w:webHidden/>
              </w:rPr>
              <w:fldChar w:fldCharType="separate"/>
            </w:r>
            <w:r w:rsidR="00AE7893">
              <w:rPr>
                <w:noProof/>
                <w:webHidden/>
              </w:rPr>
              <w:t>18</w:t>
            </w:r>
            <w:r w:rsidR="00AE7893">
              <w:rPr>
                <w:noProof/>
                <w:webHidden/>
              </w:rPr>
              <w:fldChar w:fldCharType="end"/>
            </w:r>
          </w:hyperlink>
        </w:p>
        <w:p w14:paraId="227B9629" w14:textId="2B510E2E" w:rsidR="00AE7893" w:rsidRDefault="00B34E6F">
          <w:pPr>
            <w:pStyle w:val="TOC2"/>
            <w:tabs>
              <w:tab w:val="right" w:leader="dot" w:pos="9396"/>
            </w:tabs>
            <w:rPr>
              <w:rFonts w:asciiTheme="minorHAnsi" w:hAnsiTheme="minorHAnsi"/>
              <w:noProof/>
              <w:szCs w:val="22"/>
              <w:lang w:val="de-DE" w:eastAsia="de-DE"/>
            </w:rPr>
          </w:pPr>
          <w:hyperlink w:anchor="_Toc97126243" w:history="1">
            <w:r w:rsidR="00AE7893" w:rsidRPr="000E12CB">
              <w:rPr>
                <w:rStyle w:val="Hyperlink"/>
                <w:noProof/>
              </w:rPr>
              <w:t>11.2 Aviation</w:t>
            </w:r>
            <w:r w:rsidR="00AE7893">
              <w:rPr>
                <w:noProof/>
                <w:webHidden/>
              </w:rPr>
              <w:tab/>
            </w:r>
            <w:r w:rsidR="00AE7893">
              <w:rPr>
                <w:noProof/>
                <w:webHidden/>
              </w:rPr>
              <w:fldChar w:fldCharType="begin"/>
            </w:r>
            <w:r w:rsidR="00AE7893">
              <w:rPr>
                <w:noProof/>
                <w:webHidden/>
              </w:rPr>
              <w:instrText xml:space="preserve"> PAGEREF _Toc97126243 \h </w:instrText>
            </w:r>
            <w:r w:rsidR="00AE7893">
              <w:rPr>
                <w:noProof/>
                <w:webHidden/>
              </w:rPr>
            </w:r>
            <w:r w:rsidR="00AE7893">
              <w:rPr>
                <w:noProof/>
                <w:webHidden/>
              </w:rPr>
              <w:fldChar w:fldCharType="separate"/>
            </w:r>
            <w:r w:rsidR="00AE7893">
              <w:rPr>
                <w:noProof/>
                <w:webHidden/>
              </w:rPr>
              <w:t>19</w:t>
            </w:r>
            <w:r w:rsidR="00AE7893">
              <w:rPr>
                <w:noProof/>
                <w:webHidden/>
              </w:rPr>
              <w:fldChar w:fldCharType="end"/>
            </w:r>
          </w:hyperlink>
        </w:p>
        <w:p w14:paraId="7A3C6713" w14:textId="43009C0A" w:rsidR="00AE7893" w:rsidRDefault="00B34E6F">
          <w:pPr>
            <w:pStyle w:val="TOC1"/>
            <w:tabs>
              <w:tab w:val="right" w:leader="dot" w:pos="9396"/>
            </w:tabs>
            <w:rPr>
              <w:rFonts w:asciiTheme="minorHAnsi" w:hAnsiTheme="minorHAnsi"/>
              <w:noProof/>
              <w:szCs w:val="22"/>
              <w:lang w:val="de-DE" w:eastAsia="de-DE"/>
            </w:rPr>
          </w:pPr>
          <w:hyperlink w:anchor="_Toc97126244" w:history="1">
            <w:r w:rsidR="00AE7893" w:rsidRPr="000E12CB">
              <w:rPr>
                <w:rStyle w:val="Hyperlink"/>
                <w:noProof/>
              </w:rPr>
              <w:t>12 Annex II Auctioning</w:t>
            </w:r>
            <w:r w:rsidR="00AE7893">
              <w:rPr>
                <w:noProof/>
                <w:webHidden/>
              </w:rPr>
              <w:tab/>
            </w:r>
            <w:r w:rsidR="00AE7893">
              <w:rPr>
                <w:noProof/>
                <w:webHidden/>
              </w:rPr>
              <w:fldChar w:fldCharType="begin"/>
            </w:r>
            <w:r w:rsidR="00AE7893">
              <w:rPr>
                <w:noProof/>
                <w:webHidden/>
              </w:rPr>
              <w:instrText xml:space="preserve"> PAGEREF _Toc97126244 \h </w:instrText>
            </w:r>
            <w:r w:rsidR="00AE7893">
              <w:rPr>
                <w:noProof/>
                <w:webHidden/>
              </w:rPr>
            </w:r>
            <w:r w:rsidR="00AE7893">
              <w:rPr>
                <w:noProof/>
                <w:webHidden/>
              </w:rPr>
              <w:fldChar w:fldCharType="separate"/>
            </w:r>
            <w:r w:rsidR="00AE7893">
              <w:rPr>
                <w:noProof/>
                <w:webHidden/>
              </w:rPr>
              <w:t>21</w:t>
            </w:r>
            <w:r w:rsidR="00AE7893">
              <w:rPr>
                <w:noProof/>
                <w:webHidden/>
              </w:rPr>
              <w:fldChar w:fldCharType="end"/>
            </w:r>
          </w:hyperlink>
        </w:p>
        <w:p w14:paraId="7A4B4F57" w14:textId="228B9DD4" w:rsidR="00AE7893" w:rsidRDefault="00B34E6F">
          <w:pPr>
            <w:pStyle w:val="TOC1"/>
            <w:tabs>
              <w:tab w:val="right" w:leader="dot" w:pos="9396"/>
            </w:tabs>
            <w:rPr>
              <w:rFonts w:asciiTheme="minorHAnsi" w:hAnsiTheme="minorHAnsi"/>
              <w:noProof/>
              <w:szCs w:val="22"/>
              <w:lang w:val="de-DE" w:eastAsia="de-DE"/>
            </w:rPr>
          </w:pPr>
          <w:hyperlink w:anchor="_Toc97126245" w:history="1">
            <w:r w:rsidR="00AE7893" w:rsidRPr="000E12CB">
              <w:rPr>
                <w:rStyle w:val="Hyperlink"/>
                <w:noProof/>
              </w:rPr>
              <w:t>13 Annex III Estimates to reflect current ETS scope for stationary installations</w:t>
            </w:r>
            <w:r w:rsidR="00AE7893">
              <w:rPr>
                <w:noProof/>
                <w:webHidden/>
              </w:rPr>
              <w:tab/>
            </w:r>
            <w:r w:rsidR="00AE7893">
              <w:rPr>
                <w:noProof/>
                <w:webHidden/>
              </w:rPr>
              <w:fldChar w:fldCharType="begin"/>
            </w:r>
            <w:r w:rsidR="00AE7893">
              <w:rPr>
                <w:noProof/>
                <w:webHidden/>
              </w:rPr>
              <w:instrText xml:space="preserve"> PAGEREF _Toc97126245 \h </w:instrText>
            </w:r>
            <w:r w:rsidR="00AE7893">
              <w:rPr>
                <w:noProof/>
                <w:webHidden/>
              </w:rPr>
            </w:r>
            <w:r w:rsidR="00AE7893">
              <w:rPr>
                <w:noProof/>
                <w:webHidden/>
              </w:rPr>
              <w:fldChar w:fldCharType="separate"/>
            </w:r>
            <w:r w:rsidR="00AE7893">
              <w:rPr>
                <w:noProof/>
                <w:webHidden/>
              </w:rPr>
              <w:t>25</w:t>
            </w:r>
            <w:r w:rsidR="00AE7893">
              <w:rPr>
                <w:noProof/>
                <w:webHidden/>
              </w:rPr>
              <w:fldChar w:fldCharType="end"/>
            </w:r>
          </w:hyperlink>
        </w:p>
        <w:p w14:paraId="3A9FC087" w14:textId="362FBE28" w:rsidR="286703DB" w:rsidRDefault="286703DB" w:rsidP="286703DB">
          <w:pPr>
            <w:pStyle w:val="TOC1"/>
            <w:tabs>
              <w:tab w:val="right" w:leader="dot" w:pos="9405"/>
            </w:tabs>
            <w:rPr>
              <w:szCs w:val="22"/>
            </w:rPr>
          </w:pPr>
          <w:r>
            <w:fldChar w:fldCharType="end"/>
          </w:r>
        </w:p>
      </w:sdtContent>
    </w:sdt>
    <w:p w14:paraId="79D5D929" w14:textId="77777777" w:rsidR="009B108A" w:rsidRDefault="009B108A" w:rsidP="00104BA0">
      <w:pPr>
        <w:spacing w:line="210" w:lineRule="atLeast"/>
        <w:rPr>
          <w:rFonts w:cs="Open Sans"/>
          <w:b/>
          <w:bCs/>
          <w:color w:val="000000"/>
          <w:sz w:val="18"/>
          <w:szCs w:val="17"/>
          <w:lang w:val="pt-PT"/>
        </w:rPr>
      </w:pPr>
    </w:p>
    <w:p w14:paraId="1BF8E0EC" w14:textId="77777777" w:rsidR="009B108A" w:rsidRPr="009A73EB" w:rsidRDefault="009B108A" w:rsidP="00104BA0">
      <w:pPr>
        <w:spacing w:line="210" w:lineRule="atLeast"/>
        <w:rPr>
          <w:rFonts w:cs="Open Sans"/>
          <w:b/>
          <w:bCs/>
          <w:color w:val="000000"/>
          <w:sz w:val="18"/>
          <w:szCs w:val="17"/>
          <w:lang w:val="pt-PT"/>
        </w:rPr>
        <w:sectPr w:rsidR="009B108A" w:rsidRPr="009A73EB" w:rsidSect="009A1694">
          <w:headerReference w:type="first" r:id="rId21"/>
          <w:footerReference w:type="first" r:id="rId22"/>
          <w:pgSz w:w="11900" w:h="16840"/>
          <w:pgMar w:top="1247" w:right="1247" w:bottom="1247" w:left="1247" w:header="0" w:footer="505" w:gutter="0"/>
          <w:cols w:space="708"/>
          <w:titlePg/>
          <w:docGrid w:linePitch="360"/>
        </w:sectPr>
      </w:pPr>
    </w:p>
    <w:p w14:paraId="1F2D0DB7" w14:textId="70191F66" w:rsidR="009A73EB" w:rsidRPr="009A73EB" w:rsidRDefault="00AC510B" w:rsidP="286703DB">
      <w:pPr>
        <w:pStyle w:val="Heading1"/>
        <w:rPr>
          <w:lang w:val="pt-PT"/>
        </w:rPr>
      </w:pPr>
      <w:bookmarkStart w:id="1" w:name="_Toc97126221"/>
      <w:r>
        <w:lastRenderedPageBreak/>
        <w:t>Acknowledgements</w:t>
      </w:r>
      <w:bookmarkEnd w:id="1"/>
    </w:p>
    <w:p w14:paraId="1BCA6722" w14:textId="77777777" w:rsidR="00AC510B" w:rsidRPr="00E91572" w:rsidRDefault="00AC510B" w:rsidP="00AC510B">
      <w:pPr>
        <w:rPr>
          <w:rFonts w:asciiTheme="majorHAnsi" w:hAnsiTheme="majorHAnsi" w:cstheme="minorHAnsi"/>
        </w:rPr>
      </w:pPr>
      <w:r w:rsidRPr="00E91572">
        <w:rPr>
          <w:rFonts w:asciiTheme="majorHAnsi" w:hAnsiTheme="majorHAnsi" w:cstheme="minorHAnsi"/>
        </w:rPr>
        <w:t xml:space="preserve">The EU ETS data viewer is prepared by the European Environment Agency (EEA), with support from the European Topic Centre on Climate change mitigation and energy (ETC/CME). </w:t>
      </w:r>
    </w:p>
    <w:p w14:paraId="3EE34092" w14:textId="77777777" w:rsidR="00AC510B" w:rsidRPr="00E91572" w:rsidRDefault="00AC510B" w:rsidP="00AC510B">
      <w:pPr>
        <w:rPr>
          <w:rFonts w:asciiTheme="majorHAnsi" w:hAnsiTheme="majorHAnsi" w:cstheme="minorHAnsi"/>
        </w:rPr>
      </w:pPr>
      <w:r w:rsidRPr="00E91572">
        <w:rPr>
          <w:rFonts w:asciiTheme="majorHAnsi" w:hAnsiTheme="majorHAnsi" w:cstheme="minorHAnsi"/>
        </w:rPr>
        <w:t xml:space="preserve">The EEA acknowledges in particular, the input from Sabine Gores, Verena Graichen, Sean Healy, and Christian Nissen from the </w:t>
      </w:r>
      <w:proofErr w:type="spellStart"/>
      <w:r w:rsidRPr="00E91572">
        <w:rPr>
          <w:rFonts w:asciiTheme="majorHAnsi" w:hAnsiTheme="majorHAnsi" w:cstheme="minorHAnsi"/>
        </w:rPr>
        <w:t>Öko</w:t>
      </w:r>
      <w:proofErr w:type="spellEnd"/>
      <w:r w:rsidRPr="00E91572">
        <w:rPr>
          <w:rFonts w:asciiTheme="majorHAnsi" w:hAnsiTheme="majorHAnsi" w:cstheme="minorHAnsi"/>
        </w:rPr>
        <w:t>–</w:t>
      </w:r>
      <w:proofErr w:type="spellStart"/>
      <w:r w:rsidRPr="00E91572">
        <w:rPr>
          <w:rFonts w:asciiTheme="majorHAnsi" w:hAnsiTheme="majorHAnsi" w:cstheme="minorHAnsi"/>
        </w:rPr>
        <w:t>Institut</w:t>
      </w:r>
      <w:proofErr w:type="spellEnd"/>
      <w:r w:rsidRPr="00E91572">
        <w:rPr>
          <w:rFonts w:asciiTheme="majorHAnsi" w:hAnsiTheme="majorHAnsi" w:cstheme="minorHAnsi"/>
        </w:rPr>
        <w:t>, Germany (as ETC/CME partner).</w:t>
      </w:r>
    </w:p>
    <w:p w14:paraId="01D882BB" w14:textId="43B0E6C1" w:rsidR="009A73EB" w:rsidRPr="00AC510B" w:rsidRDefault="009A73EB" w:rsidP="286703DB">
      <w:pPr>
        <w:spacing w:after="210" w:line="210" w:lineRule="atLeast"/>
        <w:rPr>
          <w:szCs w:val="22"/>
        </w:rPr>
      </w:pPr>
    </w:p>
    <w:p w14:paraId="4F9BBE2F" w14:textId="60867412" w:rsidR="286703DB" w:rsidRDefault="286703DB" w:rsidP="286703DB">
      <w:pPr>
        <w:spacing w:after="210" w:line="210" w:lineRule="atLeast"/>
        <w:rPr>
          <w:szCs w:val="22"/>
          <w:lang w:val="pt-PT"/>
        </w:rPr>
      </w:pPr>
    </w:p>
    <w:p w14:paraId="6A1BEE3D" w14:textId="77777777" w:rsidR="009A73EB" w:rsidRPr="009A73EB" w:rsidRDefault="009A73EB" w:rsidP="00104BA0">
      <w:pPr>
        <w:spacing w:after="210" w:line="210" w:lineRule="atLeast"/>
        <w:rPr>
          <w:sz w:val="44"/>
          <w:szCs w:val="44"/>
          <w:lang w:val="pt-PT"/>
        </w:rPr>
        <w:sectPr w:rsidR="009A73EB" w:rsidRPr="009A73EB" w:rsidSect="009A1694">
          <w:pgSz w:w="11900" w:h="16840"/>
          <w:pgMar w:top="1247" w:right="1247" w:bottom="1247" w:left="1247" w:header="0" w:footer="505" w:gutter="0"/>
          <w:cols w:space="708"/>
          <w:titlePg/>
          <w:docGrid w:linePitch="360"/>
        </w:sectPr>
      </w:pPr>
    </w:p>
    <w:p w14:paraId="4C8F7DBE" w14:textId="30541E6C" w:rsidR="009B108A" w:rsidRPr="00AE7893" w:rsidRDefault="004E59A1" w:rsidP="00AE7893">
      <w:pPr>
        <w:pStyle w:val="Heading1"/>
      </w:pPr>
      <w:bookmarkStart w:id="2" w:name="_Toc97126222"/>
      <w:r>
        <w:lastRenderedPageBreak/>
        <w:t xml:space="preserve">1 </w:t>
      </w:r>
      <w:bookmarkStart w:id="3" w:name="_Hlk97122844"/>
      <w:r w:rsidR="00AC510B">
        <w:t>Introduction</w:t>
      </w:r>
      <w:bookmarkEnd w:id="2"/>
      <w:bookmarkEnd w:id="3"/>
    </w:p>
    <w:p w14:paraId="37D7BBDD" w14:textId="77777777" w:rsidR="009B108A" w:rsidRDefault="009B108A" w:rsidP="009B108A">
      <w:pPr>
        <w:spacing w:after="210" w:line="210" w:lineRule="atLeast"/>
        <w:rPr>
          <w:sz w:val="20"/>
          <w:szCs w:val="20"/>
        </w:rPr>
      </w:pPr>
    </w:p>
    <w:p w14:paraId="4D955513" w14:textId="77777777" w:rsidR="00AC510B" w:rsidRPr="00E91572" w:rsidRDefault="00AC510B" w:rsidP="00AC510B">
      <w:pPr>
        <w:spacing w:before="40" w:after="40"/>
        <w:rPr>
          <w:rFonts w:eastAsia="ヒラギノ角ゴ Pro W3" w:cs="Calibri"/>
          <w:iCs/>
          <w:lang w:val="en-GB"/>
        </w:rPr>
      </w:pPr>
      <w:r w:rsidRPr="00E91572">
        <w:rPr>
          <w:rFonts w:eastAsia="ヒラギノ角ゴ Pro W3" w:cs="Calibri"/>
          <w:iCs/>
          <w:lang w:val="en-GB"/>
        </w:rPr>
        <w:t>The European Union (EU) Emissions Trading System (ETS) is one of the main and most prominent measures introduced by the EU to reduce its greenhouse gas emissions and reach its reduction target under the Kyoto Protocol, the internal EU-target for 2020. The main source of information on the system at EU level is the European Union Transaction Log (EUTL), formerly called Community Independent Transaction Log (CITL) (</w:t>
      </w:r>
      <w:r w:rsidRPr="00E91572">
        <w:rPr>
          <w:rFonts w:eastAsia="ヒラギノ角ゴ Pro W3" w:cs="Calibri"/>
          <w:iCs/>
          <w:vertAlign w:val="superscript"/>
          <w:lang w:val="en-GB"/>
        </w:rPr>
        <w:footnoteReference w:id="1"/>
      </w:r>
      <w:r w:rsidRPr="00E91572">
        <w:rPr>
          <w:rFonts w:eastAsia="ヒラギノ角ゴ Pro W3" w:cs="Calibri"/>
          <w:iCs/>
          <w:lang w:val="en-GB"/>
        </w:rPr>
        <w:t xml:space="preserve">). The EUTL, which is run by the European Commission, checks and records all transactions carried out under the EU ETS. </w:t>
      </w:r>
      <w:bookmarkStart w:id="5" w:name="OLE_LINK3"/>
      <w:bookmarkStart w:id="6" w:name="OLE_LINK4"/>
      <w:r w:rsidRPr="00E91572">
        <w:rPr>
          <w:rFonts w:eastAsia="ヒラギノ角ゴ Pro W3" w:cs="Calibri"/>
          <w:iCs/>
          <w:lang w:val="en-GB"/>
        </w:rPr>
        <w:t xml:space="preserve">It contains information on each entity covered by the system, including its main activity type, the quantity of allocated allowances and verified emissions on an annual basis. However, the data is not easily accessible in a user-friendly format. </w:t>
      </w:r>
    </w:p>
    <w:p w14:paraId="74ED8CC5" w14:textId="2FC86ED4" w:rsidR="00AC510B" w:rsidRPr="00E91572" w:rsidRDefault="00AC510B" w:rsidP="00AC510B">
      <w:pPr>
        <w:spacing w:before="40" w:after="40"/>
        <w:rPr>
          <w:rFonts w:eastAsia="ヒラギノ角ゴ Pro W3" w:cs="Calibri"/>
          <w:iCs/>
          <w:lang w:val="en-GB"/>
        </w:rPr>
      </w:pPr>
      <w:r w:rsidRPr="00E91572">
        <w:rPr>
          <w:rFonts w:eastAsia="ヒラギノ角ゴ Pro W3" w:cs="Calibri"/>
          <w:iCs/>
          <w:lang w:val="en-GB"/>
        </w:rPr>
        <w:t>The European Environment Agency (EEA) (</w:t>
      </w:r>
      <w:r w:rsidRPr="00E91572">
        <w:rPr>
          <w:rFonts w:eastAsia="ヒラギノ角ゴ Pro W3" w:cs="Calibri"/>
          <w:iCs/>
          <w:vertAlign w:val="superscript"/>
          <w:lang w:val="en-GB"/>
        </w:rPr>
        <w:footnoteReference w:id="2"/>
      </w:r>
      <w:r w:rsidRPr="00E91572">
        <w:rPr>
          <w:rFonts w:eastAsia="ヒラギノ角ゴ Pro W3" w:cs="Calibri"/>
          <w:iCs/>
          <w:lang w:val="en-GB"/>
        </w:rPr>
        <w:t xml:space="preserve">) and its </w:t>
      </w:r>
      <w:r w:rsidRPr="00E91572">
        <w:rPr>
          <w:rFonts w:asciiTheme="majorHAnsi" w:hAnsiTheme="majorHAnsi" w:cstheme="minorHAnsi"/>
        </w:rPr>
        <w:t>European Topic Centre on Climate change mitigation  (ETC/CM</w:t>
      </w:r>
      <w:r w:rsidRPr="00E91572">
        <w:rPr>
          <w:rFonts w:eastAsia="ヒラギノ角ゴ Pro W3" w:cs="Calibri"/>
          <w:iCs/>
          <w:lang w:val="en-GB"/>
        </w:rPr>
        <w:t>) (</w:t>
      </w:r>
      <w:r w:rsidRPr="00E91572">
        <w:rPr>
          <w:rFonts w:eastAsia="ヒラギノ角ゴ Pro W3" w:cs="Calibri"/>
          <w:iCs/>
          <w:vertAlign w:val="superscript"/>
          <w:lang w:val="en-GB"/>
        </w:rPr>
        <w:footnoteReference w:id="3"/>
      </w:r>
      <w:r w:rsidRPr="00E91572">
        <w:rPr>
          <w:rFonts w:eastAsia="ヒラギノ角ゴ Pro W3" w:cs="Calibri"/>
          <w:iCs/>
          <w:lang w:val="en-GB"/>
        </w:rPr>
        <w:t xml:space="preserve">) developed the EU ETS data viewer, a tool to facilitate access to the information contained in the EUTL, as well as relevant additional information related to the EU ETS. The EEA’s EU ETS data viewer aims to support governments, market players and other stakeholders in their assessment of the EU ETS. The EU ETS data viewer is accessible on EEA website at: </w:t>
      </w:r>
      <w:hyperlink r:id="rId23" w:history="1">
        <w:r w:rsidRPr="00E91572">
          <w:rPr>
            <w:rFonts w:eastAsia="ヒラギノ角ゴ Pro W3" w:cs="Calibri"/>
            <w:iCs/>
            <w:color w:val="0563C1"/>
            <w:u w:val="single"/>
            <w:lang w:val="en-GB"/>
          </w:rPr>
          <w:t>https://www.eea.europa.eu/data-and-maps/dashboards/emissions-trading-viewer-1</w:t>
        </w:r>
      </w:hyperlink>
      <w:r w:rsidRPr="00E91572">
        <w:rPr>
          <w:rFonts w:eastAsia="ヒラギノ角ゴ Pro W3" w:cs="Calibri"/>
          <w:iCs/>
          <w:lang w:val="en-GB"/>
        </w:rPr>
        <w:t>.</w:t>
      </w:r>
    </w:p>
    <w:p w14:paraId="583E5DB9" w14:textId="77777777" w:rsidR="00AC510B" w:rsidRPr="00E91572" w:rsidRDefault="00AC510B" w:rsidP="00AC510B">
      <w:pPr>
        <w:spacing w:before="40" w:after="40"/>
        <w:rPr>
          <w:rFonts w:eastAsia="ヒラギノ角ゴ Pro W3" w:cs="Calibri"/>
          <w:iCs/>
          <w:lang w:val="en-GB"/>
        </w:rPr>
      </w:pPr>
      <w:r w:rsidRPr="00E91572">
        <w:rPr>
          <w:rFonts w:eastAsia="ヒラギノ角ゴ Pro W3" w:cs="Calibri"/>
          <w:iCs/>
          <w:lang w:val="en-GB"/>
        </w:rPr>
        <w:t>This viewer enables users to assess the data concerning stationary installations and aircraft operators and emissions contained in the EUTL by country or country grouping, activity, size and year.</w:t>
      </w:r>
      <w:bookmarkEnd w:id="5"/>
      <w:bookmarkEnd w:id="6"/>
      <w:r w:rsidRPr="00E91572">
        <w:rPr>
          <w:rFonts w:eastAsia="ヒラギノ角ゴ Pro W3" w:cs="Calibri"/>
          <w:iCs/>
          <w:lang w:val="en-GB"/>
        </w:rPr>
        <w:t xml:space="preserve"> While entity-level data are available from the EUTL, the EU ETS data viewer provides aggregated data at national level.</w:t>
      </w:r>
    </w:p>
    <w:p w14:paraId="6B9E5B4B" w14:textId="77777777" w:rsidR="00AC510B" w:rsidRPr="00E91572" w:rsidRDefault="00AC510B" w:rsidP="00AC510B">
      <w:pPr>
        <w:spacing w:before="40" w:after="40"/>
        <w:rPr>
          <w:rFonts w:eastAsia="ヒラギノ角ゴ Pro W3" w:cs="Calibri"/>
          <w:iCs/>
          <w:lang w:val="en-GB"/>
        </w:rPr>
      </w:pPr>
      <w:r w:rsidRPr="00E91572">
        <w:rPr>
          <w:rFonts w:eastAsia="ヒラギノ角ゴ Pro W3" w:cs="Calibri"/>
          <w:iCs/>
          <w:lang w:val="en-GB"/>
        </w:rPr>
        <w:t>In the first and second trading period (2005–2007 and 2008–2012) the EUTL contained information for the nine categories of activities for stationary installations mentioned in Annex I of the Emission Trading Directive (</w:t>
      </w:r>
      <w:r w:rsidRPr="00E91572">
        <w:rPr>
          <w:rFonts w:eastAsia="ヒラギノ角ゴ Pro W3" w:cs="Calibri"/>
          <w:iCs/>
          <w:vertAlign w:val="superscript"/>
          <w:lang w:val="en-GB"/>
        </w:rPr>
        <w:footnoteReference w:id="4"/>
      </w:r>
      <w:r w:rsidRPr="00E91572">
        <w:rPr>
          <w:rFonts w:eastAsia="ヒラギノ角ゴ Pro W3" w:cs="Calibri"/>
          <w:iCs/>
          <w:lang w:val="en-GB"/>
        </w:rPr>
        <w:t xml:space="preserve">) and an additional category for opt-in installations. For the third trading period (2013-2020) new activity categories have been introduced. In total, there are now 28 categories of activities for stationary installations, some of which correspond to old categories while others pertain to new activities covered by the scheme from the third trading period onwards (see Chapter </w:t>
      </w:r>
      <w:r w:rsidRPr="00E91572">
        <w:rPr>
          <w:rFonts w:eastAsia="ヒラギノ角ゴ Pro W3" w:cs="Calibri"/>
          <w:iCs/>
          <w:lang w:val="en-GB"/>
        </w:rPr>
        <w:fldChar w:fldCharType="begin"/>
      </w:r>
      <w:r w:rsidRPr="00E91572">
        <w:rPr>
          <w:rFonts w:eastAsia="ヒラギノ角ゴ Pro W3" w:cs="Calibri"/>
          <w:iCs/>
          <w:lang w:val="en-GB"/>
        </w:rPr>
        <w:instrText xml:space="preserve"> REF _Ref7691311 \r \h  \* MERGEFORMAT </w:instrText>
      </w:r>
      <w:r w:rsidRPr="00E91572">
        <w:rPr>
          <w:rFonts w:eastAsia="ヒラギノ角ゴ Pro W3" w:cs="Calibri"/>
          <w:iCs/>
          <w:lang w:val="en-GB"/>
        </w:rPr>
      </w:r>
      <w:r w:rsidRPr="00E91572">
        <w:rPr>
          <w:rFonts w:eastAsia="ヒラギノ角ゴ Pro W3" w:cs="Calibri"/>
          <w:iCs/>
          <w:lang w:val="en-GB"/>
        </w:rPr>
        <w:fldChar w:fldCharType="separate"/>
      </w:r>
      <w:r>
        <w:rPr>
          <w:rFonts w:eastAsia="ヒラギノ角ゴ Pro W3" w:cs="Calibri"/>
          <w:iCs/>
          <w:lang w:val="en-GB"/>
        </w:rPr>
        <w:t>7</w:t>
      </w:r>
      <w:r w:rsidRPr="00E91572">
        <w:rPr>
          <w:rFonts w:eastAsia="ヒラギノ角ゴ Pro W3" w:cs="Calibri"/>
          <w:iCs/>
          <w:lang w:val="en-GB"/>
        </w:rPr>
        <w:fldChar w:fldCharType="end"/>
      </w:r>
      <w:r w:rsidRPr="00E91572">
        <w:rPr>
          <w:rFonts w:eastAsia="ヒラギノ角ゴ Pro W3" w:cs="Calibri"/>
          <w:iCs/>
          <w:lang w:val="en-GB"/>
        </w:rPr>
        <w:t xml:space="preserve">). Information on aviation operators (ETS activity type 10) is also included in the EU ETS data viewer </w:t>
      </w:r>
    </w:p>
    <w:p w14:paraId="35214B53" w14:textId="7A18A245" w:rsidR="00AC510B" w:rsidRPr="00E91572" w:rsidRDefault="00AC510B" w:rsidP="00AC510B">
      <w:pPr>
        <w:spacing w:before="40" w:after="40"/>
        <w:rPr>
          <w:rFonts w:eastAsia="ヒラギノ角ゴ Pro W3" w:cs="Calibri"/>
          <w:iCs/>
          <w:lang w:val="en-GB"/>
        </w:rPr>
      </w:pPr>
      <w:r w:rsidRPr="00E91572">
        <w:rPr>
          <w:rFonts w:eastAsia="ヒラギノ角ゴ Pro W3" w:cs="Calibri"/>
          <w:iCs/>
          <w:lang w:val="en-GB"/>
        </w:rPr>
        <w:t xml:space="preserve">This manual describes the functionalities and underlying data of the EU ETS data viewer. The latest version of the EU ETS data viewer is based on data accessed from the EUTL on </w:t>
      </w:r>
      <w:r w:rsidR="00371A8D">
        <w:rPr>
          <w:rFonts w:eastAsia="ヒラギノ角ゴ Pro W3" w:cs="Calibri"/>
          <w:iCs/>
          <w:lang w:val="en-GB"/>
        </w:rPr>
        <w:t>May 2</w:t>
      </w:r>
      <w:r w:rsidR="00371A8D" w:rsidRPr="00371A8D">
        <w:rPr>
          <w:rFonts w:eastAsia="ヒラギノ角ゴ Pro W3" w:cs="Calibri"/>
          <w:iCs/>
          <w:vertAlign w:val="superscript"/>
          <w:lang w:val="en-GB"/>
        </w:rPr>
        <w:t>nd</w:t>
      </w:r>
      <w:r w:rsidR="00010390">
        <w:rPr>
          <w:rFonts w:eastAsia="ヒラギノ角ゴ Pro W3" w:cs="Calibri"/>
          <w:iCs/>
          <w:lang w:val="en-GB"/>
        </w:rPr>
        <w:t>, 2023</w:t>
      </w:r>
      <w:r w:rsidRPr="00E91572">
        <w:rPr>
          <w:rFonts w:eastAsia="ヒラギノ角ゴ Pro W3" w:cs="Calibri"/>
          <w:iCs/>
          <w:lang w:val="en-GB"/>
        </w:rPr>
        <w:t>.</w:t>
      </w:r>
    </w:p>
    <w:p w14:paraId="4686914B" w14:textId="77777777" w:rsidR="004E59A1" w:rsidRPr="00AC510B" w:rsidRDefault="004E59A1" w:rsidP="004E59A1">
      <w:pPr>
        <w:rPr>
          <w:lang w:val="en-GB"/>
        </w:rPr>
      </w:pPr>
    </w:p>
    <w:p w14:paraId="14A7C0B8" w14:textId="18B592A2" w:rsidR="00AE7893" w:rsidRDefault="00AE7893">
      <w:pPr>
        <w:jc w:val="left"/>
        <w:rPr>
          <w:rFonts w:eastAsia="Times New Roman" w:cs="Times New Roman"/>
          <w:b/>
          <w:bCs/>
          <w:color w:val="007B6C"/>
          <w:szCs w:val="20"/>
          <w:lang w:val="en-GB"/>
        </w:rPr>
      </w:pPr>
      <w:r>
        <w:br w:type="page"/>
      </w:r>
    </w:p>
    <w:p w14:paraId="7E12CA1A" w14:textId="5FA37412" w:rsidR="00445D3E" w:rsidRDefault="005C215E" w:rsidP="00AE7893">
      <w:pPr>
        <w:pStyle w:val="Heading1"/>
      </w:pPr>
      <w:bookmarkStart w:id="7" w:name="_Toc97126223"/>
      <w:r>
        <w:lastRenderedPageBreak/>
        <w:t>2 Data sources</w:t>
      </w:r>
      <w:bookmarkEnd w:id="7"/>
    </w:p>
    <w:p w14:paraId="1CA8CFB3" w14:textId="77777777" w:rsidR="005C215E" w:rsidRPr="005C215E" w:rsidRDefault="005C215E" w:rsidP="00445D3E">
      <w:pPr>
        <w:jc w:val="left"/>
        <w:rPr>
          <w:rFonts w:cstheme="minorHAnsi"/>
          <w:lang w:val="en-GB"/>
        </w:rPr>
      </w:pPr>
    </w:p>
    <w:p w14:paraId="2710F007" w14:textId="77777777" w:rsidR="005C215E" w:rsidRPr="00E91572" w:rsidRDefault="005C215E" w:rsidP="005C215E">
      <w:pPr>
        <w:jc w:val="left"/>
        <w:rPr>
          <w:rFonts w:eastAsia="ヒラギノ角ゴ Pro W3" w:cs="Calibri"/>
          <w:iCs/>
          <w:lang w:val="en-GB"/>
        </w:rPr>
      </w:pPr>
      <w:r w:rsidRPr="005C215E">
        <w:rPr>
          <w:rFonts w:cstheme="minorHAnsi"/>
          <w:lang w:val="en-GB"/>
        </w:rPr>
        <w:t>The</w:t>
      </w:r>
      <w:r w:rsidRPr="00E91572">
        <w:rPr>
          <w:rFonts w:eastAsia="ヒラギノ角ゴ Pro W3" w:cs="Calibri"/>
          <w:iCs/>
          <w:lang w:val="en-GB"/>
        </w:rPr>
        <w:t xml:space="preserve"> EU ETS data viewer contains information for all stationary installations included in the EU ETS since 2005, as well as for aircraft operators covered by the EU ETS. </w:t>
      </w:r>
    </w:p>
    <w:p w14:paraId="31E0488C" w14:textId="00FB7985" w:rsidR="00445D3E" w:rsidRDefault="00445D3E" w:rsidP="00445D3E">
      <w:pPr>
        <w:jc w:val="left"/>
        <w:rPr>
          <w:rFonts w:cstheme="minorHAnsi"/>
          <w:lang w:val="en-GB"/>
        </w:rPr>
      </w:pPr>
    </w:p>
    <w:p w14:paraId="4A7185EF" w14:textId="06A97774" w:rsidR="005C215E" w:rsidRPr="005C215E" w:rsidRDefault="005C215E" w:rsidP="00AE7893">
      <w:pPr>
        <w:pStyle w:val="Heading2"/>
      </w:pPr>
      <w:bookmarkStart w:id="8" w:name="_Toc97126224"/>
      <w:r w:rsidRPr="005C215E">
        <w:t xml:space="preserve">2.1 </w:t>
      </w:r>
      <w:r>
        <w:t>EUTL</w:t>
      </w:r>
      <w:bookmarkEnd w:id="8"/>
    </w:p>
    <w:p w14:paraId="31E9CB54" w14:textId="712A1428" w:rsidR="005C215E" w:rsidRDefault="005C215E" w:rsidP="00445D3E">
      <w:pPr>
        <w:jc w:val="left"/>
        <w:rPr>
          <w:rFonts w:cstheme="minorHAnsi"/>
          <w:lang w:val="en-GB"/>
        </w:rPr>
      </w:pPr>
    </w:p>
    <w:p w14:paraId="0C8634D2" w14:textId="77777777" w:rsidR="005C215E" w:rsidRPr="00E91572" w:rsidRDefault="005C215E" w:rsidP="005C215E">
      <w:pPr>
        <w:spacing w:before="40" w:after="40"/>
        <w:rPr>
          <w:rFonts w:eastAsia="ヒラギノ角ゴ Pro W3" w:cs="Calibri"/>
          <w:iCs/>
          <w:lang w:val="en-GB"/>
        </w:rPr>
      </w:pPr>
      <w:r w:rsidRPr="00E91572">
        <w:rPr>
          <w:rFonts w:eastAsia="ヒラギノ角ゴ Pro W3" w:cs="Calibri"/>
          <w:iCs/>
          <w:lang w:val="en-GB"/>
        </w:rPr>
        <w:t>Most of the data included in the EU ETS data viewer originate from the EUTL. The following elements of the data viewer are based on entity-level data available from the EUTL (see Chapter </w:t>
      </w:r>
      <w:r w:rsidRPr="00E91572">
        <w:rPr>
          <w:rFonts w:eastAsia="ヒラギノ角ゴ Pro W3" w:cs="Calibri"/>
          <w:iCs/>
          <w:lang w:val="en-GB"/>
        </w:rPr>
        <w:fldChar w:fldCharType="begin"/>
      </w:r>
      <w:r w:rsidRPr="00E91572">
        <w:rPr>
          <w:rFonts w:eastAsia="ヒラギノ角ゴ Pro W3" w:cs="Calibri"/>
          <w:iCs/>
          <w:lang w:val="en-GB"/>
        </w:rPr>
        <w:instrText xml:space="preserve"> REF _Ref7691433 \w \h  \* MERGEFORMAT </w:instrText>
      </w:r>
      <w:r w:rsidRPr="00E91572">
        <w:rPr>
          <w:rFonts w:eastAsia="ヒラギノ角ゴ Pro W3" w:cs="Calibri"/>
          <w:iCs/>
          <w:lang w:val="en-GB"/>
        </w:rPr>
      </w:r>
      <w:r w:rsidRPr="00E91572">
        <w:rPr>
          <w:rFonts w:eastAsia="ヒラギノ角ゴ Pro W3" w:cs="Calibri"/>
          <w:iCs/>
          <w:lang w:val="en-GB"/>
        </w:rPr>
        <w:fldChar w:fldCharType="separate"/>
      </w:r>
      <w:r>
        <w:rPr>
          <w:rFonts w:eastAsia="ヒラギノ角ゴ Pro W3" w:cs="Calibri"/>
          <w:iCs/>
          <w:lang w:val="en-GB"/>
        </w:rPr>
        <w:t>6</w:t>
      </w:r>
      <w:r w:rsidRPr="00E91572">
        <w:rPr>
          <w:rFonts w:eastAsia="ヒラギノ角ゴ Pro W3" w:cs="Calibri"/>
          <w:iCs/>
          <w:lang w:val="en-GB"/>
        </w:rPr>
        <w:fldChar w:fldCharType="end"/>
      </w:r>
      <w:r w:rsidRPr="00E91572">
        <w:rPr>
          <w:rFonts w:eastAsia="ヒラギノ角ゴ Pro W3" w:cs="Calibri"/>
          <w:iCs/>
          <w:lang w:val="en-GB"/>
        </w:rPr>
        <w:t xml:space="preserve"> for further explanation):</w:t>
      </w:r>
    </w:p>
    <w:p w14:paraId="13A50188" w14:textId="0281690F" w:rsidR="005C215E" w:rsidRPr="00E91572" w:rsidRDefault="005C215E" w:rsidP="005C215E">
      <w:pPr>
        <w:numPr>
          <w:ilvl w:val="0"/>
          <w:numId w:val="1"/>
        </w:numPr>
        <w:spacing w:before="40" w:after="40"/>
        <w:contextualSpacing/>
        <w:rPr>
          <w:rFonts w:eastAsia="ヒラギノ角ゴ Pro W3" w:cs="Calibri"/>
          <w:iCs/>
          <w:lang w:eastAsia="fr-FR"/>
        </w:rPr>
      </w:pPr>
      <w:r w:rsidRPr="00E91572">
        <w:rPr>
          <w:rFonts w:eastAsia="ヒラギノ角ゴ Pro W3" w:cs="Calibri"/>
          <w:iCs/>
          <w:lang w:eastAsia="fr-FR"/>
        </w:rPr>
        <w:t>the quantity of allowances allocated to each entity for the years 2005 to 20</w:t>
      </w:r>
      <w:r>
        <w:rPr>
          <w:rFonts w:eastAsia="ヒラギノ角ゴ Pro W3" w:cs="Calibri"/>
          <w:iCs/>
          <w:lang w:eastAsia="fr-FR"/>
        </w:rPr>
        <w:t>2</w:t>
      </w:r>
      <w:r w:rsidR="00010390">
        <w:rPr>
          <w:rFonts w:eastAsia="ヒラギノ角ゴ Pro W3" w:cs="Calibri"/>
          <w:iCs/>
          <w:lang w:eastAsia="fr-FR"/>
        </w:rPr>
        <w:t>2</w:t>
      </w:r>
      <w:r w:rsidRPr="00E91572">
        <w:rPr>
          <w:rFonts w:eastAsia="ヒラギノ角ゴ Pro W3" w:cs="Calibri"/>
          <w:iCs/>
          <w:lang w:eastAsia="fr-FR"/>
        </w:rPr>
        <w:t xml:space="preserve"> for non-excluded entities;</w:t>
      </w:r>
    </w:p>
    <w:p w14:paraId="3C387C73" w14:textId="01FDE184" w:rsidR="005C215E" w:rsidRPr="00E91572" w:rsidRDefault="005C215E" w:rsidP="005C215E">
      <w:pPr>
        <w:numPr>
          <w:ilvl w:val="0"/>
          <w:numId w:val="1"/>
        </w:numPr>
        <w:spacing w:before="40" w:after="40"/>
        <w:contextualSpacing/>
        <w:rPr>
          <w:rFonts w:eastAsia="ヒラギノ角ゴ Pro W3" w:cs="Calibri"/>
          <w:iCs/>
          <w:lang w:eastAsia="fr-FR"/>
        </w:rPr>
      </w:pPr>
      <w:r w:rsidRPr="00E91572">
        <w:rPr>
          <w:rFonts w:eastAsia="ヒラギノ角ゴ Pro W3" w:cs="Calibri"/>
          <w:iCs/>
          <w:lang w:eastAsia="fr-FR"/>
        </w:rPr>
        <w:t>the quantity of verified emissions of that entity for the years 2005 to 20</w:t>
      </w:r>
      <w:r>
        <w:rPr>
          <w:rFonts w:eastAsia="ヒラギノ角ゴ Pro W3" w:cs="Calibri"/>
          <w:iCs/>
          <w:lang w:eastAsia="fr-FR"/>
        </w:rPr>
        <w:t>2</w:t>
      </w:r>
      <w:r w:rsidR="00010390">
        <w:rPr>
          <w:rFonts w:eastAsia="ヒラギノ角ゴ Pro W3" w:cs="Calibri"/>
          <w:iCs/>
          <w:lang w:eastAsia="fr-FR"/>
        </w:rPr>
        <w:t>2</w:t>
      </w:r>
      <w:r w:rsidRPr="00E91572">
        <w:rPr>
          <w:rFonts w:eastAsia="ヒラギノ角ゴ Pro W3" w:cs="Calibri"/>
          <w:iCs/>
          <w:lang w:eastAsia="fr-FR"/>
        </w:rPr>
        <w:t xml:space="preserve"> for non-excluded entities; and</w:t>
      </w:r>
    </w:p>
    <w:p w14:paraId="5E0B0A89" w14:textId="77777777" w:rsidR="005C215E" w:rsidRPr="00E91572" w:rsidRDefault="005C215E" w:rsidP="005C215E">
      <w:pPr>
        <w:numPr>
          <w:ilvl w:val="0"/>
          <w:numId w:val="1"/>
        </w:numPr>
        <w:spacing w:before="40" w:after="40"/>
        <w:contextualSpacing/>
        <w:rPr>
          <w:rFonts w:eastAsia="ヒラギノ角ゴ Pro W3" w:cs="Calibri"/>
          <w:iCs/>
          <w:lang w:eastAsia="fr-FR"/>
        </w:rPr>
      </w:pPr>
      <w:r w:rsidRPr="00E91572">
        <w:rPr>
          <w:rFonts w:eastAsia="ヒラギノ角ゴ Pro W3" w:cs="Calibri"/>
          <w:iCs/>
          <w:lang w:eastAsia="fr-FR"/>
        </w:rPr>
        <w:t>the amount of total units surrendered: the amounts of EU Allowances (EUAs or EUAAs) surrendered; for 2008–2012: the amounts of certified reduction units (CERs) and emission reduction units (ERUs) surrendered (in the third trading period CERs and ERUs are exchanged for EUAs and EUAAs before being surrendered).</w:t>
      </w:r>
    </w:p>
    <w:p w14:paraId="68A023E7" w14:textId="77777777" w:rsidR="005C215E" w:rsidRPr="00E91572" w:rsidRDefault="005C215E" w:rsidP="005C215E">
      <w:pPr>
        <w:spacing w:before="40" w:after="40"/>
        <w:rPr>
          <w:rFonts w:eastAsia="ヒラギノ角ゴ Pro W3" w:cs="Calibri"/>
          <w:iCs/>
          <w:lang w:val="en-GB"/>
        </w:rPr>
      </w:pPr>
      <w:r w:rsidRPr="00E91572">
        <w:rPr>
          <w:rFonts w:eastAsia="ヒラギノ角ゴ Pro W3" w:cs="Calibri"/>
          <w:iCs/>
          <w:lang w:val="en-GB"/>
        </w:rPr>
        <w:t>The data contained in the EUTL is undergoing constant changes, for examples due to:</w:t>
      </w:r>
    </w:p>
    <w:p w14:paraId="628E319A" w14:textId="77777777" w:rsidR="005C215E" w:rsidRPr="00E91572" w:rsidRDefault="005C215E" w:rsidP="005C215E">
      <w:pPr>
        <w:numPr>
          <w:ilvl w:val="0"/>
          <w:numId w:val="2"/>
        </w:numPr>
        <w:spacing w:before="40" w:after="40"/>
        <w:contextualSpacing/>
        <w:rPr>
          <w:rFonts w:eastAsia="ヒラギノ角ゴ Pro W3" w:cs="Calibri"/>
          <w:iCs/>
          <w:lang w:eastAsia="fr-FR"/>
        </w:rPr>
      </w:pPr>
      <w:r w:rsidRPr="00E91572">
        <w:rPr>
          <w:rFonts w:eastAsia="ヒラギノ角ゴ Pro W3" w:cs="Calibri"/>
          <w:iCs/>
          <w:lang w:eastAsia="fr-FR"/>
        </w:rPr>
        <w:t>entities entering or leaving the EU ETS;</w:t>
      </w:r>
    </w:p>
    <w:p w14:paraId="0411D53D" w14:textId="77777777" w:rsidR="005C215E" w:rsidRPr="00E91572" w:rsidRDefault="005C215E" w:rsidP="005C215E">
      <w:pPr>
        <w:numPr>
          <w:ilvl w:val="0"/>
          <w:numId w:val="2"/>
        </w:numPr>
        <w:spacing w:before="40" w:after="40"/>
        <w:contextualSpacing/>
        <w:rPr>
          <w:rFonts w:eastAsia="ヒラギノ角ゴ Pro W3" w:cs="Calibri"/>
          <w:iCs/>
          <w:lang w:eastAsia="fr-FR"/>
        </w:rPr>
      </w:pPr>
      <w:r w:rsidRPr="00E91572">
        <w:rPr>
          <w:rFonts w:eastAsia="ヒラギノ角ゴ Pro W3" w:cs="Calibri"/>
          <w:iCs/>
          <w:lang w:eastAsia="fr-FR"/>
        </w:rPr>
        <w:t>addition of missing information, e.g. late verified emission reports;</w:t>
      </w:r>
    </w:p>
    <w:p w14:paraId="3B2E350A" w14:textId="77777777" w:rsidR="005C215E" w:rsidRPr="00E91572" w:rsidRDefault="005C215E" w:rsidP="005C215E">
      <w:pPr>
        <w:numPr>
          <w:ilvl w:val="0"/>
          <w:numId w:val="2"/>
        </w:numPr>
        <w:spacing w:before="40" w:after="40"/>
        <w:contextualSpacing/>
        <w:rPr>
          <w:rFonts w:eastAsia="ヒラギノ角ゴ Pro W3" w:cs="Calibri"/>
          <w:iCs/>
          <w:lang w:eastAsia="fr-FR"/>
        </w:rPr>
      </w:pPr>
      <w:r w:rsidRPr="00E91572">
        <w:rPr>
          <w:rFonts w:eastAsia="ヒラギノ角ゴ Pro W3" w:cs="Calibri"/>
          <w:iCs/>
          <w:lang w:eastAsia="fr-FR"/>
        </w:rPr>
        <w:t>correction of emission reports or inaccurate data in national registries; and</w:t>
      </w:r>
    </w:p>
    <w:p w14:paraId="76B59D17" w14:textId="77777777" w:rsidR="005C215E" w:rsidRPr="00E91572" w:rsidRDefault="005C215E" w:rsidP="005C215E">
      <w:pPr>
        <w:numPr>
          <w:ilvl w:val="0"/>
          <w:numId w:val="2"/>
        </w:numPr>
        <w:spacing w:before="40" w:after="40"/>
        <w:contextualSpacing/>
        <w:rPr>
          <w:rFonts w:eastAsia="ヒラギノ角ゴ Pro W3" w:cs="Calibri"/>
          <w:iCs/>
          <w:lang w:eastAsia="fr-FR"/>
        </w:rPr>
      </w:pPr>
      <w:r w:rsidRPr="00E91572">
        <w:rPr>
          <w:rFonts w:eastAsia="ヒラギノ角ゴ Pro W3" w:cs="Calibri"/>
          <w:iCs/>
          <w:lang w:eastAsia="fr-FR"/>
        </w:rPr>
        <w:t>changes of allocated amounts following legal proceedings.</w:t>
      </w:r>
    </w:p>
    <w:p w14:paraId="3058811B" w14:textId="77777777" w:rsidR="005C215E" w:rsidRPr="00E91572" w:rsidRDefault="005C215E" w:rsidP="005C215E">
      <w:pPr>
        <w:spacing w:before="40" w:after="40"/>
        <w:ind w:left="720"/>
        <w:contextualSpacing/>
        <w:rPr>
          <w:rFonts w:eastAsia="ヒラギノ角ゴ Pro W3" w:cs="Calibri"/>
          <w:iCs/>
          <w:lang w:eastAsia="fr-FR"/>
        </w:rPr>
      </w:pPr>
    </w:p>
    <w:p w14:paraId="4E5DA520" w14:textId="77777777" w:rsidR="005C215E" w:rsidRPr="00E91572" w:rsidRDefault="005C215E" w:rsidP="005C215E">
      <w:pPr>
        <w:spacing w:after="210"/>
        <w:rPr>
          <w:rFonts w:eastAsia="ヒラギノ角ゴ Pro W3" w:cs="Calibri"/>
          <w:iCs/>
          <w:lang w:val="en-GB"/>
        </w:rPr>
      </w:pPr>
      <w:r w:rsidRPr="00E91572">
        <w:rPr>
          <w:rFonts w:eastAsia="ヒラギノ角ゴ Pro W3" w:cs="Calibri"/>
          <w:iCs/>
          <w:lang w:val="en-GB"/>
        </w:rPr>
        <w:t>The EU ETS data viewer reflects data as available from the EUTL, including for those entities for which data may still be incomplete (e.g. in case of missing reports on verified emissions, on-going legal proceedings on allocation, etc.).</w:t>
      </w:r>
    </w:p>
    <w:p w14:paraId="00BFC040" w14:textId="56C4B5C0" w:rsidR="005C215E" w:rsidRDefault="005A0ED4" w:rsidP="005A0ED4">
      <w:pPr>
        <w:pStyle w:val="Heading2"/>
        <w:rPr>
          <w:rFonts w:cstheme="minorHAnsi"/>
          <w:lang w:val="en-GB"/>
        </w:rPr>
      </w:pPr>
      <w:bookmarkStart w:id="9" w:name="_Toc97126225"/>
      <w:r>
        <w:t>2.2</w:t>
      </w:r>
      <w:r w:rsidR="005C215E" w:rsidRPr="005C215E">
        <w:t xml:space="preserve"> </w:t>
      </w:r>
      <w:r w:rsidRPr="005A0ED4">
        <w:t>Other sources</w:t>
      </w:r>
      <w:bookmarkEnd w:id="9"/>
    </w:p>
    <w:p w14:paraId="5D938B5E" w14:textId="25BC2A4F" w:rsidR="005C215E" w:rsidRPr="00E91572" w:rsidRDefault="005C215E" w:rsidP="005C215E">
      <w:pPr>
        <w:pStyle w:val="Heading3"/>
      </w:pPr>
      <w:bookmarkStart w:id="10" w:name="_Toc97126226"/>
      <w:r w:rsidRPr="005C215E">
        <w:t>2.</w:t>
      </w:r>
      <w:r w:rsidR="005A0ED4">
        <w:t>2</w:t>
      </w:r>
      <w:r w:rsidRPr="005C215E">
        <w:t xml:space="preserve">.1 </w:t>
      </w:r>
      <w:bookmarkStart w:id="11" w:name="_Toc7697724"/>
      <w:r w:rsidRPr="00700445">
        <w:t>Main activity of individual entities</w:t>
      </w:r>
      <w:bookmarkEnd w:id="10"/>
      <w:bookmarkEnd w:id="11"/>
    </w:p>
    <w:p w14:paraId="27DBFB22" w14:textId="0056749C" w:rsidR="005C215E" w:rsidRPr="005C215E" w:rsidRDefault="005C215E" w:rsidP="00445D3E">
      <w:pPr>
        <w:jc w:val="left"/>
        <w:rPr>
          <w:rFonts w:cstheme="minorHAnsi"/>
        </w:rPr>
      </w:pPr>
    </w:p>
    <w:p w14:paraId="745A9DE3" w14:textId="77777777" w:rsidR="005C215E" w:rsidRPr="00E91572" w:rsidRDefault="005C215E" w:rsidP="005C215E">
      <w:pPr>
        <w:spacing w:before="40" w:after="40"/>
        <w:rPr>
          <w:rFonts w:eastAsia="ヒラギノ角ゴ Pro W3" w:cs="Calibri"/>
          <w:iCs/>
          <w:lang w:val="en-GB"/>
        </w:rPr>
      </w:pPr>
      <w:r w:rsidRPr="00E91572">
        <w:rPr>
          <w:rFonts w:eastAsia="ヒラギノ角ゴ Pro W3" w:cs="Calibri"/>
          <w:iCs/>
          <w:lang w:val="en-GB"/>
        </w:rPr>
        <w:t xml:space="preserve">Main activity type codes are generally available from EUTL. </w:t>
      </w:r>
    </w:p>
    <w:p w14:paraId="00F78632" w14:textId="5C1F97CE" w:rsidR="00700445" w:rsidRPr="00E91572" w:rsidRDefault="005C215E" w:rsidP="00700445">
      <w:pPr>
        <w:spacing w:after="210" w:line="210" w:lineRule="atLeast"/>
        <w:rPr>
          <w:rFonts w:eastAsia="ヒラギノ角ゴ Pro W3" w:cs="Calibri"/>
          <w:iCs/>
          <w:lang w:val="en-GB"/>
        </w:rPr>
      </w:pPr>
      <w:r w:rsidRPr="00E91572">
        <w:rPr>
          <w:rFonts w:eastAsia="ヒラギノ角ゴ Pro W3" w:cs="Calibri"/>
          <w:iCs/>
          <w:lang w:val="en-GB"/>
        </w:rPr>
        <w:t>With the start of the third trading period of the EU ETS (2013-202</w:t>
      </w:r>
      <w:r w:rsidR="00010390">
        <w:rPr>
          <w:rFonts w:eastAsia="ヒラギノ角ゴ Pro W3" w:cs="Calibri"/>
          <w:iCs/>
          <w:lang w:val="en-GB"/>
        </w:rPr>
        <w:t>2</w:t>
      </w:r>
      <w:r w:rsidRPr="00E91572">
        <w:rPr>
          <w:rFonts w:eastAsia="ヒラギノ角ゴ Pro W3" w:cs="Calibri"/>
          <w:iCs/>
          <w:lang w:val="en-GB"/>
        </w:rPr>
        <w:t>) new activity codes (codes 20-47) have been introduced. All new entities entering the scheme are automatically assigned a new activity code. However, not all installations that were already part of the scheme before the start of the third trading period have changed to the new activity codes, but kept the old codes. The ETC/ACM applied a methodology to map those old codes (1-9) to new codes (20-43) in order to facilitate analysis of the different activities. The methodology is mainly based on information on NACE codes which have been published by the European Commission as part of the preparation of the carbon leakage list for 2015-2019 (</w:t>
      </w:r>
      <w:r w:rsidRPr="00E91572">
        <w:rPr>
          <w:rFonts w:eastAsia="ヒラギノ角ゴ Pro W3" w:cs="Calibri"/>
          <w:iCs/>
          <w:vertAlign w:val="superscript"/>
          <w:lang w:val="en-GB"/>
        </w:rPr>
        <w:footnoteReference w:id="5"/>
      </w:r>
      <w:r w:rsidRPr="00E91572">
        <w:rPr>
          <w:rFonts w:eastAsia="ヒラギノ角ゴ Pro W3" w:cs="Calibri"/>
          <w:iCs/>
          <w:lang w:val="en-GB"/>
        </w:rPr>
        <w:t>). Details on the translation of activity codes are available in an ETC/ACM technical paper (</w:t>
      </w:r>
      <w:r w:rsidRPr="00E91572">
        <w:rPr>
          <w:rFonts w:eastAsia="ヒラギノ角ゴ Pro W3" w:cs="Calibri"/>
          <w:iCs/>
          <w:vertAlign w:val="superscript"/>
          <w:lang w:val="en-GB"/>
        </w:rPr>
        <w:footnoteReference w:id="6"/>
      </w:r>
      <w:r w:rsidRPr="00E91572">
        <w:rPr>
          <w:rFonts w:eastAsia="ヒラギノ角ゴ Pro W3" w:cs="Calibri"/>
          <w:iCs/>
          <w:lang w:val="en-GB"/>
        </w:rPr>
        <w:t>). The</w:t>
      </w:r>
      <w:r w:rsidR="00700445" w:rsidRPr="00700445">
        <w:rPr>
          <w:rFonts w:eastAsia="ヒラギノ角ゴ Pro W3" w:cs="Calibri"/>
          <w:iCs/>
          <w:lang w:val="en-GB"/>
        </w:rPr>
        <w:t xml:space="preserve"> </w:t>
      </w:r>
      <w:r w:rsidR="00700445" w:rsidRPr="00E91572">
        <w:rPr>
          <w:rFonts w:eastAsia="ヒラギノ角ゴ Pro W3" w:cs="Calibri"/>
          <w:iCs/>
          <w:lang w:val="en-GB"/>
        </w:rPr>
        <w:t>translation is regularly updated to include country specific information. The most actual translation table is available as download from the EEA Data Service</w:t>
      </w:r>
      <w:r w:rsidR="00700445" w:rsidRPr="00E91572">
        <w:rPr>
          <w:rStyle w:val="FootnoteReference"/>
          <w:rFonts w:eastAsia="ヒラギノ角ゴ Pro W3" w:cs="Calibri"/>
          <w:iCs/>
          <w:lang w:val="en-GB"/>
        </w:rPr>
        <w:footnoteReference w:id="7"/>
      </w:r>
      <w:r w:rsidR="00700445" w:rsidRPr="00E91572">
        <w:rPr>
          <w:rFonts w:eastAsia="ヒラギノ角ゴ Pro W3" w:cs="Calibri"/>
          <w:iCs/>
          <w:lang w:val="en-GB"/>
        </w:rPr>
        <w:t>.</w:t>
      </w:r>
      <w:r w:rsidR="00700445" w:rsidRPr="00E91572">
        <w:rPr>
          <w:rFonts w:eastAsia="ヒラギノ角ゴ Pro W3" w:cs="Calibri"/>
          <w:iCs/>
          <w:lang w:val="en-GB"/>
        </w:rPr>
        <w:br w:type="page"/>
      </w:r>
    </w:p>
    <w:p w14:paraId="12A07115" w14:textId="043A23E5" w:rsidR="005C215E" w:rsidRDefault="00700445" w:rsidP="00AE7893">
      <w:pPr>
        <w:pStyle w:val="Heading3"/>
      </w:pPr>
      <w:bookmarkStart w:id="12" w:name="_Toc97126227"/>
      <w:r>
        <w:lastRenderedPageBreak/>
        <w:t>2.2.2 Corrections to freely allocated allowances</w:t>
      </w:r>
      <w:bookmarkEnd w:id="12"/>
    </w:p>
    <w:p w14:paraId="7E9AFCF4" w14:textId="77777777" w:rsidR="00700445" w:rsidRPr="00E91572" w:rsidRDefault="00700445" w:rsidP="00700445">
      <w:pPr>
        <w:spacing w:before="40" w:after="40"/>
        <w:rPr>
          <w:rFonts w:eastAsia="ヒラギノ角ゴ Pro W3" w:cs="Calibri"/>
          <w:iCs/>
          <w:lang w:val="en-GB"/>
        </w:rPr>
      </w:pPr>
    </w:p>
    <w:p w14:paraId="5D2D1511" w14:textId="77777777" w:rsidR="00700445" w:rsidRPr="00E91572" w:rsidRDefault="00700445" w:rsidP="00700445">
      <w:pPr>
        <w:spacing w:before="40" w:after="40"/>
        <w:rPr>
          <w:rFonts w:eastAsia="ヒラギノ角ゴ Pro W3" w:cs="Calibri"/>
          <w:iCs/>
          <w:lang w:val="en-GB"/>
        </w:rPr>
      </w:pPr>
      <w:r w:rsidRPr="00E91572">
        <w:rPr>
          <w:rFonts w:eastAsia="ヒラギノ角ゴ Pro W3" w:cs="Calibri"/>
          <w:iCs/>
          <w:lang w:val="en-GB"/>
        </w:rPr>
        <w:t xml:space="preserve">For stationary installations, corrections to freely allocated allowances are provided in the EU ETS data viewer on country level. These corrections are reflecting information provided directly by countries in the course of MS consultation cycles for the annual EEA Trends and Projections Reports of last years. </w:t>
      </w:r>
    </w:p>
    <w:p w14:paraId="258E23B7" w14:textId="77777777" w:rsidR="00700445" w:rsidRPr="00E91572" w:rsidRDefault="00700445" w:rsidP="00700445">
      <w:pPr>
        <w:spacing w:before="40" w:after="40"/>
        <w:rPr>
          <w:rFonts w:eastAsia="ヒラギノ角ゴ Pro W3" w:cs="Calibri"/>
          <w:iCs/>
          <w:lang w:val="en-GB"/>
        </w:rPr>
      </w:pPr>
      <w:r w:rsidRPr="00E91572">
        <w:rPr>
          <w:rFonts w:eastAsia="ヒラギノ角ゴ Pro W3" w:cs="Calibri"/>
          <w:iCs/>
          <w:lang w:val="en-GB"/>
        </w:rPr>
        <w:t>For aviation-related information, a correction for freely allocated allowances in the year 2012 is provided. As some aviation operators choose to comply only with the reduced aviation scope due to the “stop the clock decision”, freely allocated allowances exceeding this reduced scope had to be returned. To a large extent these returns are not reflected in the EUTL. The corrections to freely allocated allowances due to the change in scope have been provided by the European Commission (</w:t>
      </w:r>
      <w:r w:rsidRPr="00E91572">
        <w:rPr>
          <w:rFonts w:eastAsia="ヒラギノ角ゴ Pro W3" w:cs="Calibri"/>
          <w:iCs/>
          <w:vertAlign w:val="superscript"/>
          <w:lang w:val="en-GB"/>
        </w:rPr>
        <w:footnoteReference w:id="8"/>
      </w:r>
      <w:r w:rsidRPr="00E91572">
        <w:rPr>
          <w:rFonts w:eastAsia="ヒラギノ角ゴ Pro W3" w:cs="Calibri"/>
          <w:iCs/>
          <w:lang w:val="en-GB"/>
        </w:rPr>
        <w:t xml:space="preserve">). </w:t>
      </w:r>
    </w:p>
    <w:p w14:paraId="58FCE498" w14:textId="77777777" w:rsidR="00700445" w:rsidRPr="00E91572" w:rsidRDefault="00700445" w:rsidP="00700445">
      <w:pPr>
        <w:spacing w:before="40" w:after="40"/>
        <w:rPr>
          <w:rFonts w:eastAsia="ヒラギノ角ゴ Pro W3" w:cs="Calibri"/>
          <w:iCs/>
          <w:lang w:val="en-GB"/>
        </w:rPr>
      </w:pPr>
      <w:r w:rsidRPr="00E91572">
        <w:rPr>
          <w:rFonts w:eastAsia="ヒラギノ角ゴ Pro W3" w:cs="Calibri"/>
          <w:iCs/>
          <w:lang w:val="en-GB"/>
        </w:rPr>
        <w:t xml:space="preserve">Further detailed information on these corrections is provided in </w:t>
      </w:r>
      <w:r w:rsidRPr="00E91572">
        <w:rPr>
          <w:rFonts w:eastAsia="ヒラギノ角ゴ Pro W3" w:cs="Calibri"/>
          <w:iCs/>
          <w:lang w:val="en-GB"/>
        </w:rPr>
        <w:fldChar w:fldCharType="begin"/>
      </w:r>
      <w:r w:rsidRPr="00E91572">
        <w:rPr>
          <w:rFonts w:eastAsia="ヒラギノ角ゴ Pro W3" w:cs="Calibri"/>
          <w:iCs/>
          <w:lang w:val="en-GB"/>
        </w:rPr>
        <w:instrText xml:space="preserve"> REF _Ref7696875 \h  \* MERGEFORMAT </w:instrText>
      </w:r>
      <w:r w:rsidRPr="00E91572">
        <w:rPr>
          <w:rFonts w:eastAsia="ヒラギノ角ゴ Pro W3" w:cs="Calibri"/>
          <w:iCs/>
          <w:lang w:val="en-GB"/>
        </w:rPr>
      </w:r>
      <w:r w:rsidRPr="00E91572">
        <w:rPr>
          <w:rFonts w:eastAsia="ヒラギノ角ゴ Pro W3" w:cs="Calibri"/>
          <w:iCs/>
          <w:lang w:val="en-GB"/>
        </w:rPr>
        <w:fldChar w:fldCharType="separate"/>
      </w:r>
      <w:r w:rsidRPr="00E91572">
        <w:t>Annex I – Correction of freely allocated allowances</w:t>
      </w:r>
      <w:r w:rsidRPr="00E91572">
        <w:rPr>
          <w:rFonts w:eastAsia="ヒラギノ角ゴ Pro W3" w:cs="Calibri"/>
          <w:iCs/>
          <w:lang w:val="en-GB"/>
        </w:rPr>
        <w:fldChar w:fldCharType="end"/>
      </w:r>
      <w:r w:rsidRPr="00E91572">
        <w:rPr>
          <w:rFonts w:eastAsia="ヒラギノ角ゴ Pro W3" w:cs="Calibri"/>
          <w:iCs/>
          <w:lang w:val="en-GB"/>
        </w:rPr>
        <w:t>.</w:t>
      </w:r>
    </w:p>
    <w:p w14:paraId="10AD419B" w14:textId="77777777" w:rsidR="00700445" w:rsidRPr="00700445" w:rsidRDefault="00700445" w:rsidP="005C215E">
      <w:pPr>
        <w:jc w:val="left"/>
        <w:rPr>
          <w:rFonts w:eastAsiaTheme="majorEastAsia" w:cstheme="majorBidi"/>
          <w:iCs/>
          <w:lang w:val="en-GB"/>
        </w:rPr>
      </w:pPr>
    </w:p>
    <w:p w14:paraId="218BAA45" w14:textId="1AE70BFD" w:rsidR="00700445" w:rsidRDefault="00700445" w:rsidP="00AE7893">
      <w:pPr>
        <w:pStyle w:val="Heading3"/>
      </w:pPr>
      <w:bookmarkStart w:id="13" w:name="_Toc97126228"/>
      <w:r>
        <w:t>2.2.3 Auctions</w:t>
      </w:r>
      <w:bookmarkEnd w:id="13"/>
    </w:p>
    <w:p w14:paraId="03740E88" w14:textId="77777777" w:rsidR="00700445" w:rsidRDefault="00700445" w:rsidP="00700445">
      <w:pPr>
        <w:spacing w:before="40" w:after="40"/>
        <w:rPr>
          <w:rFonts w:eastAsia="ヒラギノ角ゴ Pro W3" w:cs="Calibri"/>
          <w:iCs/>
          <w:lang w:val="en-GB"/>
        </w:rPr>
      </w:pPr>
    </w:p>
    <w:p w14:paraId="03441711" w14:textId="61F15C70" w:rsidR="00700445" w:rsidRPr="00E91572" w:rsidRDefault="00700445" w:rsidP="00700445">
      <w:pPr>
        <w:spacing w:before="40" w:after="40"/>
        <w:rPr>
          <w:rFonts w:eastAsia="ヒラギノ角ゴ Pro W3" w:cs="Calibri"/>
          <w:iCs/>
          <w:lang w:val="en-GB"/>
        </w:rPr>
      </w:pPr>
      <w:r w:rsidRPr="00E91572">
        <w:rPr>
          <w:rFonts w:eastAsia="ヒラギノ角ゴ Pro W3" w:cs="Calibri"/>
          <w:iCs/>
          <w:lang w:val="en-GB"/>
        </w:rPr>
        <w:t xml:space="preserve">Information on EUAs and EUAAs auctioned or sold by governments has been gathered from various sources and is available on the country level. For the first and second trading period the number of EUAs auctioned or sold by governments has been collected from publications from the respective countries, as well as auction reports published by the trading platforms on which the auctions are carried out, details on these sources are given in </w:t>
      </w:r>
      <w:r w:rsidRPr="00E91572">
        <w:rPr>
          <w:rFonts w:eastAsia="ヒラギノ角ゴ Pro W3" w:cs="Calibri"/>
          <w:iCs/>
          <w:lang w:val="en-GB"/>
        </w:rPr>
        <w:fldChar w:fldCharType="begin"/>
      </w:r>
      <w:r w:rsidRPr="00E91572">
        <w:rPr>
          <w:rFonts w:eastAsia="ヒラギノ角ゴ Pro W3" w:cs="Calibri"/>
          <w:iCs/>
          <w:lang w:val="en-GB"/>
        </w:rPr>
        <w:instrText xml:space="preserve"> REF _Ref7696919 \h  \* MERGEFORMAT </w:instrText>
      </w:r>
      <w:r w:rsidRPr="00E91572">
        <w:rPr>
          <w:rFonts w:eastAsia="ヒラギノ角ゴ Pro W3" w:cs="Calibri"/>
          <w:iCs/>
          <w:lang w:val="en-GB"/>
        </w:rPr>
      </w:r>
      <w:r w:rsidRPr="00E91572">
        <w:rPr>
          <w:rFonts w:eastAsia="ヒラギノ角ゴ Pro W3" w:cs="Calibri"/>
          <w:iCs/>
          <w:lang w:val="en-GB"/>
        </w:rPr>
        <w:fldChar w:fldCharType="separate"/>
      </w:r>
      <w:r w:rsidRPr="00E91572">
        <w:rPr>
          <w:rStyle w:val="Strong"/>
        </w:rPr>
        <w:t>Table</w:t>
      </w:r>
      <w:r w:rsidRPr="00E91572">
        <w:rPr>
          <w:rFonts w:asciiTheme="majorHAnsi" w:eastAsia="ヒラギノ角ゴ Pro W3" w:hAnsiTheme="majorHAnsi" w:cs="Calibri"/>
          <w:b/>
          <w:szCs w:val="22"/>
        </w:rPr>
        <w:t xml:space="preserve"> </w:t>
      </w:r>
      <w:r>
        <w:rPr>
          <w:rFonts w:asciiTheme="majorHAnsi" w:eastAsia="ヒラギノ角ゴ Pro W3" w:hAnsiTheme="majorHAnsi" w:cs="Calibri"/>
          <w:b/>
          <w:noProof/>
          <w:szCs w:val="22"/>
        </w:rPr>
        <w:t>7</w:t>
      </w:r>
      <w:r w:rsidRPr="00E91572">
        <w:rPr>
          <w:rFonts w:asciiTheme="majorHAnsi" w:eastAsia="ヒラギノ角ゴ Pro W3" w:hAnsiTheme="majorHAnsi" w:cs="Calibri"/>
          <w:b/>
          <w:noProof/>
          <w:szCs w:val="22"/>
        </w:rPr>
        <w:noBreakHyphen/>
      </w:r>
      <w:r>
        <w:rPr>
          <w:rFonts w:asciiTheme="majorHAnsi" w:eastAsia="ヒラギノ角ゴ Pro W3" w:hAnsiTheme="majorHAnsi" w:cs="Calibri"/>
          <w:b/>
          <w:noProof/>
          <w:szCs w:val="22"/>
        </w:rPr>
        <w:t>1</w:t>
      </w:r>
      <w:r w:rsidRPr="00E91572">
        <w:rPr>
          <w:rFonts w:eastAsia="ヒラギノ角ゴ Pro W3" w:cs="Calibri"/>
          <w:iCs/>
          <w:lang w:val="en-GB"/>
        </w:rPr>
        <w:fldChar w:fldCharType="end"/>
      </w:r>
      <w:r w:rsidRPr="00E91572">
        <w:rPr>
          <w:rFonts w:eastAsia="ヒラギノ角ゴ Pro W3" w:cs="Calibri"/>
          <w:iCs/>
          <w:lang w:val="en-GB"/>
        </w:rPr>
        <w:t>.</w:t>
      </w:r>
    </w:p>
    <w:p w14:paraId="6635AC55" w14:textId="77777777" w:rsidR="00700445" w:rsidRPr="00E91572" w:rsidRDefault="00700445" w:rsidP="00700445">
      <w:pPr>
        <w:spacing w:before="40" w:after="40"/>
        <w:rPr>
          <w:rFonts w:eastAsia="ヒラギノ角ゴ Pro W3" w:cs="Calibri"/>
          <w:iCs/>
          <w:lang w:val="en-GB"/>
        </w:rPr>
      </w:pPr>
      <w:r w:rsidRPr="00E91572">
        <w:rPr>
          <w:rFonts w:eastAsia="ヒラギノ角ゴ Pro W3" w:cs="Calibri"/>
          <w:iCs/>
          <w:lang w:val="en-GB"/>
        </w:rPr>
        <w:t>From the third trading period onwards, auctioned volumes are derived from auction calendars and auction reports published by the two exchanges that carry out auctions of allowances for the third trading period: The European Energy Exchange (EEX) and the Intercontinental Exchange (ICE) (</w:t>
      </w:r>
      <w:r w:rsidRPr="00E91572">
        <w:rPr>
          <w:rFonts w:eastAsia="ヒラギノ角ゴ Pro W3" w:cs="Calibri"/>
          <w:iCs/>
          <w:vertAlign w:val="superscript"/>
          <w:lang w:val="en-GB"/>
        </w:rPr>
        <w:footnoteReference w:id="9"/>
      </w:r>
      <w:r w:rsidRPr="00E91572">
        <w:rPr>
          <w:rFonts w:eastAsia="ヒラギノ角ゴ Pro W3" w:cs="Calibri"/>
          <w:iCs/>
          <w:lang w:val="en-GB"/>
        </w:rPr>
        <w:t>).</w:t>
      </w:r>
    </w:p>
    <w:p w14:paraId="34212BD3" w14:textId="77777777" w:rsidR="00700445" w:rsidRPr="00E91572" w:rsidRDefault="00700445" w:rsidP="00700445">
      <w:pPr>
        <w:spacing w:before="40" w:after="40"/>
        <w:rPr>
          <w:rFonts w:eastAsia="ヒラギノ角ゴ Pro W3" w:cs="Calibri"/>
          <w:iCs/>
          <w:lang w:val="en-GB"/>
        </w:rPr>
      </w:pPr>
      <w:r w:rsidRPr="00E91572">
        <w:rPr>
          <w:rFonts w:eastAsia="ヒラギノ角ゴ Pro W3" w:cs="Calibri"/>
          <w:iCs/>
          <w:lang w:val="en-GB"/>
        </w:rPr>
        <w:t xml:space="preserve">Further detailed information on auctioned amounts is provided in </w:t>
      </w:r>
      <w:r w:rsidRPr="00E91572">
        <w:rPr>
          <w:rFonts w:eastAsia="ヒラギノ角ゴ Pro W3" w:cs="Calibri"/>
          <w:iCs/>
          <w:lang w:val="en-GB"/>
        </w:rPr>
        <w:fldChar w:fldCharType="begin"/>
      </w:r>
      <w:r w:rsidRPr="00E91572">
        <w:rPr>
          <w:rFonts w:eastAsia="ヒラギノ角ゴ Pro W3" w:cs="Calibri"/>
          <w:iCs/>
          <w:lang w:val="en-GB"/>
        </w:rPr>
        <w:instrText xml:space="preserve"> REF _Ref7696946 \h  \* MERGEFORMAT </w:instrText>
      </w:r>
      <w:r w:rsidRPr="00E91572">
        <w:rPr>
          <w:rFonts w:eastAsia="ヒラギノ角ゴ Pro W3" w:cs="Calibri"/>
          <w:iCs/>
          <w:lang w:val="en-GB"/>
        </w:rPr>
      </w:r>
      <w:r w:rsidRPr="00E91572">
        <w:rPr>
          <w:rFonts w:eastAsia="ヒラギノ角ゴ Pro W3" w:cs="Calibri"/>
          <w:iCs/>
          <w:lang w:val="en-GB"/>
        </w:rPr>
        <w:fldChar w:fldCharType="separate"/>
      </w:r>
      <w:r w:rsidRPr="00E91572">
        <w:t>Annex II - Auctioning</w:t>
      </w:r>
      <w:r w:rsidRPr="00E91572">
        <w:rPr>
          <w:rFonts w:eastAsia="ヒラギノ角ゴ Pro W3" w:cs="Calibri"/>
          <w:iCs/>
          <w:lang w:val="en-GB"/>
        </w:rPr>
        <w:fldChar w:fldCharType="end"/>
      </w:r>
      <w:r w:rsidRPr="00E91572">
        <w:rPr>
          <w:rFonts w:eastAsia="ヒラギノ角ゴ Pro W3" w:cs="Calibri"/>
          <w:iCs/>
          <w:lang w:val="en-GB"/>
        </w:rPr>
        <w:t>.</w:t>
      </w:r>
    </w:p>
    <w:p w14:paraId="0DD9196D" w14:textId="77777777" w:rsidR="00700445" w:rsidRPr="00700445" w:rsidRDefault="00700445" w:rsidP="00700445">
      <w:pPr>
        <w:rPr>
          <w:lang w:val="en-GB"/>
        </w:rPr>
      </w:pPr>
    </w:p>
    <w:p w14:paraId="3312FF83" w14:textId="363C5C4D" w:rsidR="00700445" w:rsidRDefault="00700445" w:rsidP="00AE7893">
      <w:pPr>
        <w:pStyle w:val="Heading3"/>
      </w:pPr>
      <w:bookmarkStart w:id="14" w:name="_Toc97126229"/>
      <w:r>
        <w:t>2.2.4 Estimates für 2008-2012 to reflect the current scope of EU ETS</w:t>
      </w:r>
      <w:bookmarkEnd w:id="14"/>
    </w:p>
    <w:p w14:paraId="47BBE1FA" w14:textId="5CB129C3" w:rsidR="00700445" w:rsidRDefault="00700445" w:rsidP="00700445"/>
    <w:p w14:paraId="1D47184A" w14:textId="77777777" w:rsidR="00700445" w:rsidRPr="00E91572" w:rsidRDefault="00700445" w:rsidP="00700445">
      <w:pPr>
        <w:spacing w:before="40" w:after="40"/>
        <w:rPr>
          <w:rFonts w:eastAsia="ヒラギノ角ゴ Pro W3" w:cs="Calibri"/>
          <w:iCs/>
          <w:lang w:val="en-GB"/>
        </w:rPr>
      </w:pPr>
      <w:r w:rsidRPr="00E91572">
        <w:rPr>
          <w:rFonts w:eastAsia="ヒラギノ角ゴ Pro W3" w:cs="Calibri"/>
          <w:iCs/>
          <w:lang w:val="en-GB"/>
        </w:rPr>
        <w:t>An estimate to reflect current EU ETS scope is necessary in order to compare ETS data on a stable basis across years and trading periods. Using information from a range of data sources, including the EUTL, national GHG inventories and EU ETS documentation, an estimate to reflect current ETS scope for stationary installations has been calculated by the EEA for each year and for each participating country. This estimate is applied both to verified emissions and allocated allowances. It does not address changes related to the inclusion or exclusion of individual entities within trading periods (e.g. new entrants and closures). No estimate was quantified for aviation. The methodology applied by EEA for such estimates is documented in detail in an ETC/ACM technical paper (</w:t>
      </w:r>
      <w:r w:rsidRPr="00E91572">
        <w:rPr>
          <w:rFonts w:eastAsia="ヒラギノ角ゴ Pro W3" w:cs="Calibri"/>
          <w:iCs/>
          <w:vertAlign w:val="superscript"/>
          <w:lang w:val="en-GB"/>
        </w:rPr>
        <w:footnoteReference w:id="10"/>
      </w:r>
      <w:r w:rsidRPr="00E91572">
        <w:rPr>
          <w:rFonts w:eastAsia="ヒラギノ角ゴ Pro W3" w:cs="Calibri"/>
          <w:iCs/>
          <w:lang w:val="en-GB"/>
        </w:rPr>
        <w:t>).</w:t>
      </w:r>
    </w:p>
    <w:p w14:paraId="4B7B8415" w14:textId="77777777" w:rsidR="00700445" w:rsidRPr="00E91572" w:rsidRDefault="00700445" w:rsidP="00700445">
      <w:pPr>
        <w:spacing w:after="210" w:line="210" w:lineRule="atLeast"/>
        <w:rPr>
          <w:rFonts w:ascii="Open Sans" w:eastAsia="ヒラギノ角ゴ Pro W3" w:hAnsi="Open Sans" w:cs="Times New Roman"/>
          <w:iCs/>
          <w:sz w:val="20"/>
          <w:lang w:val="en-GB"/>
        </w:rPr>
      </w:pPr>
      <w:r w:rsidRPr="00E91572">
        <w:rPr>
          <w:rFonts w:eastAsia="ヒラギノ角ゴ Pro W3" w:cs="Calibri"/>
          <w:iCs/>
          <w:lang w:val="en-GB"/>
        </w:rPr>
        <w:t xml:space="preserve">A short explanation of the estimates to reflect current ETS scope provided in the EU ETS data viewer is provided in </w:t>
      </w:r>
      <w:r w:rsidRPr="00E91572">
        <w:rPr>
          <w:rFonts w:eastAsia="ヒラギノ角ゴ Pro W3" w:cs="Calibri"/>
          <w:iCs/>
          <w:lang w:val="en-GB"/>
        </w:rPr>
        <w:fldChar w:fldCharType="begin"/>
      </w:r>
      <w:r w:rsidRPr="00E91572">
        <w:rPr>
          <w:rFonts w:eastAsia="ヒラギノ角ゴ Pro W3" w:cs="Calibri"/>
          <w:iCs/>
          <w:lang w:val="en-GB"/>
        </w:rPr>
        <w:instrText xml:space="preserve"> REF _Ref7696961 \h  \* MERGEFORMAT </w:instrText>
      </w:r>
      <w:r w:rsidRPr="00E91572">
        <w:rPr>
          <w:rFonts w:eastAsia="ヒラギノ角ゴ Pro W3" w:cs="Calibri"/>
          <w:iCs/>
          <w:lang w:val="en-GB"/>
        </w:rPr>
      </w:r>
      <w:r w:rsidRPr="00E91572">
        <w:rPr>
          <w:rFonts w:eastAsia="ヒラギノ角ゴ Pro W3" w:cs="Calibri"/>
          <w:iCs/>
          <w:lang w:val="en-GB"/>
        </w:rPr>
        <w:fldChar w:fldCharType="separate"/>
      </w:r>
      <w:r w:rsidRPr="00E91572">
        <w:t>Annex III – Estimates to reflect current ETS scope for stationary installations</w:t>
      </w:r>
      <w:r w:rsidRPr="00E91572">
        <w:rPr>
          <w:rFonts w:eastAsia="ヒラギノ角ゴ Pro W3" w:cs="Calibri"/>
          <w:iCs/>
          <w:lang w:val="en-GB"/>
        </w:rPr>
        <w:fldChar w:fldCharType="end"/>
      </w:r>
      <w:r w:rsidRPr="00E91572">
        <w:rPr>
          <w:rFonts w:ascii="Open Sans" w:eastAsia="ヒラギノ角ゴ Pro W3" w:hAnsi="Open Sans" w:cs="Times New Roman"/>
          <w:iCs/>
          <w:sz w:val="20"/>
          <w:lang w:val="en-GB"/>
        </w:rPr>
        <w:t>.</w:t>
      </w:r>
    </w:p>
    <w:p w14:paraId="7289DA66" w14:textId="77777777" w:rsidR="00700445" w:rsidRPr="00E91572" w:rsidRDefault="00700445" w:rsidP="00700445">
      <w:pPr>
        <w:spacing w:after="210" w:line="210" w:lineRule="atLeast"/>
        <w:rPr>
          <w:rFonts w:eastAsia="ヒラギノ角ゴ Pro W3" w:cs="Calibri"/>
          <w:iCs/>
          <w:lang w:val="en-GB"/>
        </w:rPr>
      </w:pPr>
      <w:r w:rsidRPr="00E91572">
        <w:rPr>
          <w:rFonts w:eastAsia="ヒラギノ角ゴ Pro W3" w:cs="Calibri"/>
          <w:iCs/>
          <w:lang w:val="en-GB"/>
        </w:rPr>
        <w:br w:type="page"/>
      </w:r>
    </w:p>
    <w:p w14:paraId="139BFC67" w14:textId="1E4AD7D0" w:rsidR="00700445" w:rsidRPr="00700445" w:rsidRDefault="00700445" w:rsidP="00AE7893">
      <w:pPr>
        <w:pStyle w:val="Heading1"/>
        <w:rPr>
          <w:lang w:val="en-GB"/>
        </w:rPr>
      </w:pPr>
      <w:bookmarkStart w:id="15" w:name="_Toc97126230"/>
      <w:r>
        <w:lastRenderedPageBreak/>
        <w:t>3 Regional disaggregation</w:t>
      </w:r>
      <w:bookmarkEnd w:id="15"/>
    </w:p>
    <w:p w14:paraId="354B899B" w14:textId="2DEABEC6" w:rsidR="00700445" w:rsidRDefault="00700445" w:rsidP="00700445"/>
    <w:p w14:paraId="3736E7BA" w14:textId="77777777" w:rsidR="005A603E" w:rsidRPr="00E91572" w:rsidRDefault="005A603E" w:rsidP="005A603E">
      <w:pPr>
        <w:spacing w:before="40" w:after="40"/>
        <w:rPr>
          <w:rFonts w:eastAsia="ヒラギノ角ゴ Pro W3" w:cs="Calibri"/>
          <w:iCs/>
          <w:lang w:val="en-GB"/>
        </w:rPr>
      </w:pPr>
      <w:r w:rsidRPr="00E91572">
        <w:rPr>
          <w:rFonts w:eastAsia="ヒラギノ角ゴ Pro W3" w:cs="Calibri"/>
          <w:iCs/>
          <w:lang w:val="en-GB"/>
        </w:rPr>
        <w:t xml:space="preserve">The EU ETS data viewer includes data for all countries participating in the EU ETS. The user can select individual countries or country groups. Countries are sorted alphabetically followed by the country groups. </w:t>
      </w:r>
      <w:r w:rsidRPr="00E91572">
        <w:rPr>
          <w:rFonts w:eastAsia="ヒラギノ角ゴ Pro W3" w:cs="Calibri"/>
          <w:b/>
          <w:iCs/>
          <w:lang w:val="en-GB"/>
        </w:rPr>
        <w:fldChar w:fldCharType="begin"/>
      </w:r>
      <w:r w:rsidRPr="00E91572">
        <w:rPr>
          <w:rFonts w:eastAsia="ヒラギノ角ゴ Pro W3" w:cs="Calibri"/>
          <w:iCs/>
          <w:lang w:val="en-GB"/>
        </w:rPr>
        <w:instrText xml:space="preserve"> REF _Ref7696532 \h </w:instrText>
      </w:r>
      <w:r w:rsidRPr="00E91572">
        <w:rPr>
          <w:rFonts w:eastAsia="ヒラギノ角ゴ Pro W3" w:cs="Calibri"/>
          <w:b/>
          <w:iCs/>
          <w:lang w:val="en-GB"/>
        </w:rPr>
        <w:instrText xml:space="preserve"> \* MERGEFORMAT </w:instrText>
      </w:r>
      <w:r w:rsidRPr="00E91572">
        <w:rPr>
          <w:rFonts w:eastAsia="ヒラギノ角ゴ Pro W3" w:cs="Calibri"/>
          <w:b/>
          <w:iCs/>
          <w:lang w:val="en-GB"/>
        </w:rPr>
      </w:r>
      <w:r w:rsidRPr="00E91572">
        <w:rPr>
          <w:rFonts w:eastAsia="ヒラギノ角ゴ Pro W3" w:cs="Calibri"/>
          <w:b/>
          <w:iCs/>
          <w:lang w:val="en-GB"/>
        </w:rPr>
        <w:fldChar w:fldCharType="separate"/>
      </w:r>
      <w:r w:rsidRPr="00E91572">
        <w:rPr>
          <w:rStyle w:val="Strong"/>
        </w:rPr>
        <w:t>Table</w:t>
      </w:r>
      <w:r w:rsidRPr="00E91572">
        <w:rPr>
          <w:rFonts w:asciiTheme="majorHAnsi" w:eastAsia="ヒラギノ角ゴ Pro W3" w:hAnsiTheme="majorHAnsi" w:cs="Calibri"/>
          <w:b/>
          <w:szCs w:val="22"/>
        </w:rPr>
        <w:t xml:space="preserve"> </w:t>
      </w:r>
      <w:r>
        <w:rPr>
          <w:rFonts w:asciiTheme="majorHAnsi" w:eastAsia="ヒラギノ角ゴ Pro W3" w:hAnsiTheme="majorHAnsi" w:cs="Calibri"/>
          <w:b/>
          <w:noProof/>
          <w:szCs w:val="22"/>
        </w:rPr>
        <w:t>3</w:t>
      </w:r>
      <w:r w:rsidRPr="00E91572">
        <w:rPr>
          <w:rFonts w:asciiTheme="majorHAnsi" w:eastAsia="ヒラギノ角ゴ Pro W3" w:hAnsiTheme="majorHAnsi" w:cs="Calibri"/>
          <w:b/>
          <w:noProof/>
          <w:szCs w:val="22"/>
        </w:rPr>
        <w:noBreakHyphen/>
      </w:r>
      <w:r>
        <w:rPr>
          <w:rFonts w:asciiTheme="majorHAnsi" w:eastAsia="ヒラギノ角ゴ Pro W3" w:hAnsiTheme="majorHAnsi" w:cs="Calibri"/>
          <w:b/>
          <w:noProof/>
          <w:szCs w:val="22"/>
        </w:rPr>
        <w:t>1</w:t>
      </w:r>
      <w:r w:rsidRPr="00E91572">
        <w:rPr>
          <w:rFonts w:eastAsia="ヒラギノ角ゴ Pro W3" w:cs="Calibri"/>
          <w:b/>
          <w:iCs/>
          <w:lang w:val="en-GB"/>
        </w:rPr>
        <w:fldChar w:fldCharType="end"/>
      </w:r>
      <w:r w:rsidRPr="00E91572">
        <w:rPr>
          <w:rFonts w:eastAsia="ヒラギノ角ゴ Pro W3" w:cs="Calibri"/>
          <w:iCs/>
          <w:lang w:val="en-GB"/>
        </w:rPr>
        <w:t xml:space="preserve"> lists all participating countries and indicates to which groups they belong.</w:t>
      </w:r>
    </w:p>
    <w:p w14:paraId="21A58600" w14:textId="66128032" w:rsidR="00700445" w:rsidRPr="005A603E" w:rsidRDefault="00700445" w:rsidP="00D7271E">
      <w:pPr>
        <w:pStyle w:val="Caption"/>
      </w:pPr>
    </w:p>
    <w:p w14:paraId="3375C689" w14:textId="3E278BE5" w:rsidR="005A603E" w:rsidRDefault="005A603E" w:rsidP="00D7271E">
      <w:pPr>
        <w:pStyle w:val="Caption"/>
      </w:pPr>
      <w:r>
        <w:t>Table 3</w:t>
      </w:r>
      <w:r>
        <w:noBreakHyphen/>
      </w:r>
      <w:r>
        <w:fldChar w:fldCharType="begin"/>
      </w:r>
      <w:r>
        <w:instrText xml:space="preserve"> SEQ Figure \* ARABIC \s 1 </w:instrText>
      </w:r>
      <w:r>
        <w:fldChar w:fldCharType="separate"/>
      </w:r>
      <w:r>
        <w:rPr>
          <w:noProof/>
        </w:rPr>
        <w:t>1</w:t>
      </w:r>
      <w:r>
        <w:fldChar w:fldCharType="end"/>
      </w:r>
      <w:r>
        <w:t xml:space="preserve">  Countries and country groups</w:t>
      </w:r>
    </w:p>
    <w:tbl>
      <w:tblPr>
        <w:tblW w:w="5305" w:type="dxa"/>
        <w:tblLayout w:type="fixed"/>
        <w:tblCellMar>
          <w:left w:w="70" w:type="dxa"/>
          <w:right w:w="70" w:type="dxa"/>
        </w:tblCellMar>
        <w:tblLook w:val="0000" w:firstRow="0" w:lastRow="0" w:firstColumn="0" w:lastColumn="0" w:noHBand="0" w:noVBand="0"/>
      </w:tblPr>
      <w:tblGrid>
        <w:gridCol w:w="1641"/>
        <w:gridCol w:w="1832"/>
        <w:gridCol w:w="1832"/>
      </w:tblGrid>
      <w:tr w:rsidR="005A603E" w:rsidRPr="00E91572" w14:paraId="63F553D0" w14:textId="77777777" w:rsidTr="00671FE7">
        <w:trPr>
          <w:trHeight w:val="255"/>
          <w:tblHeader/>
        </w:trPr>
        <w:tc>
          <w:tcPr>
            <w:tcW w:w="1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46358" w14:textId="77777777" w:rsidR="005A603E" w:rsidRPr="00E91572" w:rsidRDefault="005A603E" w:rsidP="00671FE7">
            <w:pPr>
              <w:rPr>
                <w:rFonts w:eastAsia="ヒラギノ角ゴ Pro W3" w:cs="Calibri"/>
                <w:b/>
                <w:bCs/>
                <w:iCs/>
                <w:lang w:val="en-GB"/>
              </w:rPr>
            </w:pPr>
          </w:p>
        </w:tc>
        <w:tc>
          <w:tcPr>
            <w:tcW w:w="1832" w:type="dxa"/>
            <w:tcBorders>
              <w:top w:val="single" w:sz="4" w:space="0" w:color="auto"/>
              <w:left w:val="nil"/>
              <w:bottom w:val="single" w:sz="4" w:space="0" w:color="auto"/>
              <w:right w:val="single" w:sz="4" w:space="0" w:color="auto"/>
            </w:tcBorders>
            <w:shd w:val="clear" w:color="auto" w:fill="auto"/>
            <w:noWrap/>
            <w:vAlign w:val="center"/>
          </w:tcPr>
          <w:p w14:paraId="5CB40D8B" w14:textId="77777777" w:rsidR="005A603E" w:rsidRPr="00E91572" w:rsidRDefault="005A603E" w:rsidP="00671FE7">
            <w:pPr>
              <w:jc w:val="center"/>
              <w:rPr>
                <w:rFonts w:eastAsia="ヒラギノ角ゴ Pro W3" w:cs="Calibri"/>
                <w:b/>
                <w:bCs/>
                <w:iCs/>
                <w:lang w:val="en-GB"/>
              </w:rPr>
            </w:pPr>
            <w:r w:rsidRPr="00E91572">
              <w:rPr>
                <w:rFonts w:eastAsia="ヒラギノ角ゴ Pro W3" w:cs="Calibri"/>
                <w:b/>
                <w:bCs/>
                <w:iCs/>
                <w:lang w:val="en-GB"/>
              </w:rPr>
              <w:t>EU-2</w:t>
            </w:r>
            <w:r>
              <w:rPr>
                <w:rFonts w:eastAsia="ヒラギノ角ゴ Pro W3" w:cs="Calibri"/>
                <w:b/>
                <w:bCs/>
                <w:iCs/>
                <w:lang w:val="en-GB"/>
              </w:rPr>
              <w:t>7</w:t>
            </w:r>
          </w:p>
        </w:tc>
        <w:tc>
          <w:tcPr>
            <w:tcW w:w="1832" w:type="dxa"/>
            <w:tcBorders>
              <w:top w:val="single" w:sz="4" w:space="0" w:color="auto"/>
              <w:left w:val="nil"/>
              <w:bottom w:val="single" w:sz="4" w:space="0" w:color="auto"/>
              <w:right w:val="single" w:sz="4" w:space="0" w:color="auto"/>
            </w:tcBorders>
            <w:shd w:val="clear" w:color="auto" w:fill="auto"/>
            <w:noWrap/>
            <w:vAlign w:val="center"/>
          </w:tcPr>
          <w:p w14:paraId="027880E4" w14:textId="77777777" w:rsidR="005A603E" w:rsidRPr="00E91572" w:rsidRDefault="005A603E" w:rsidP="00671FE7">
            <w:pPr>
              <w:jc w:val="center"/>
              <w:rPr>
                <w:rFonts w:eastAsia="ヒラギノ角ゴ Pro W3" w:cs="Calibri"/>
                <w:b/>
                <w:bCs/>
                <w:iCs/>
                <w:lang w:val="en-GB"/>
              </w:rPr>
            </w:pPr>
            <w:r w:rsidRPr="00E91572">
              <w:rPr>
                <w:rFonts w:eastAsia="ヒラギノ角ゴ Pro W3" w:cs="Calibri"/>
                <w:b/>
                <w:bCs/>
                <w:iCs/>
                <w:lang w:val="en-GB"/>
              </w:rPr>
              <w:t>All countries</w:t>
            </w:r>
          </w:p>
        </w:tc>
      </w:tr>
      <w:tr w:rsidR="005A603E" w:rsidRPr="00E91572" w14:paraId="53D2E327"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559D3A1D"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Austria</w:t>
            </w:r>
          </w:p>
        </w:tc>
        <w:tc>
          <w:tcPr>
            <w:tcW w:w="1832" w:type="dxa"/>
            <w:tcBorders>
              <w:top w:val="nil"/>
              <w:left w:val="nil"/>
              <w:bottom w:val="single" w:sz="4" w:space="0" w:color="auto"/>
              <w:right w:val="single" w:sz="4" w:space="0" w:color="auto"/>
            </w:tcBorders>
            <w:shd w:val="clear" w:color="auto" w:fill="auto"/>
            <w:noWrap/>
            <w:vAlign w:val="center"/>
          </w:tcPr>
          <w:p w14:paraId="0BCB5C6E"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13A59F09"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551FA733"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5C612290"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Belgium</w:t>
            </w:r>
          </w:p>
        </w:tc>
        <w:tc>
          <w:tcPr>
            <w:tcW w:w="1832" w:type="dxa"/>
            <w:tcBorders>
              <w:top w:val="nil"/>
              <w:left w:val="nil"/>
              <w:bottom w:val="single" w:sz="4" w:space="0" w:color="auto"/>
              <w:right w:val="single" w:sz="4" w:space="0" w:color="auto"/>
            </w:tcBorders>
            <w:shd w:val="clear" w:color="auto" w:fill="auto"/>
            <w:noWrap/>
            <w:vAlign w:val="center"/>
          </w:tcPr>
          <w:p w14:paraId="1577CE86"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303AA6D9"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054C1130"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3A5E3D99"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Bulgaria</w:t>
            </w:r>
          </w:p>
        </w:tc>
        <w:tc>
          <w:tcPr>
            <w:tcW w:w="1832" w:type="dxa"/>
            <w:tcBorders>
              <w:top w:val="nil"/>
              <w:left w:val="nil"/>
              <w:bottom w:val="single" w:sz="4" w:space="0" w:color="auto"/>
              <w:right w:val="single" w:sz="4" w:space="0" w:color="auto"/>
            </w:tcBorders>
            <w:shd w:val="clear" w:color="auto" w:fill="auto"/>
            <w:noWrap/>
            <w:vAlign w:val="center"/>
          </w:tcPr>
          <w:p w14:paraId="4C6DE9E7"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2FB31C29"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19F5F55B"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523C0C11"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Croatia</w:t>
            </w:r>
          </w:p>
        </w:tc>
        <w:tc>
          <w:tcPr>
            <w:tcW w:w="1832" w:type="dxa"/>
            <w:tcBorders>
              <w:top w:val="nil"/>
              <w:left w:val="nil"/>
              <w:bottom w:val="single" w:sz="4" w:space="0" w:color="auto"/>
              <w:right w:val="single" w:sz="4" w:space="0" w:color="auto"/>
            </w:tcBorders>
            <w:shd w:val="clear" w:color="auto" w:fill="auto"/>
            <w:noWrap/>
            <w:vAlign w:val="center"/>
          </w:tcPr>
          <w:p w14:paraId="64A7D9C4"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165A1C22"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329E2B9A"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0BD275F5"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Cyprus</w:t>
            </w:r>
          </w:p>
        </w:tc>
        <w:tc>
          <w:tcPr>
            <w:tcW w:w="1832" w:type="dxa"/>
            <w:tcBorders>
              <w:top w:val="nil"/>
              <w:left w:val="nil"/>
              <w:bottom w:val="single" w:sz="4" w:space="0" w:color="auto"/>
              <w:right w:val="single" w:sz="4" w:space="0" w:color="auto"/>
            </w:tcBorders>
            <w:shd w:val="clear" w:color="auto" w:fill="auto"/>
            <w:noWrap/>
            <w:vAlign w:val="center"/>
          </w:tcPr>
          <w:p w14:paraId="2403FFF0"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487E5C0D"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7B90E16C"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78FB745B"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Czech Republic</w:t>
            </w:r>
          </w:p>
        </w:tc>
        <w:tc>
          <w:tcPr>
            <w:tcW w:w="1832" w:type="dxa"/>
            <w:tcBorders>
              <w:top w:val="nil"/>
              <w:left w:val="nil"/>
              <w:bottom w:val="single" w:sz="4" w:space="0" w:color="auto"/>
              <w:right w:val="single" w:sz="4" w:space="0" w:color="auto"/>
            </w:tcBorders>
            <w:shd w:val="clear" w:color="auto" w:fill="auto"/>
            <w:noWrap/>
            <w:vAlign w:val="center"/>
          </w:tcPr>
          <w:p w14:paraId="61ABB6DA"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1392A356"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54D5043D"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0024DB82"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Denmark</w:t>
            </w:r>
          </w:p>
        </w:tc>
        <w:tc>
          <w:tcPr>
            <w:tcW w:w="1832" w:type="dxa"/>
            <w:tcBorders>
              <w:top w:val="nil"/>
              <w:left w:val="nil"/>
              <w:bottom w:val="single" w:sz="4" w:space="0" w:color="auto"/>
              <w:right w:val="single" w:sz="4" w:space="0" w:color="auto"/>
            </w:tcBorders>
            <w:shd w:val="clear" w:color="auto" w:fill="auto"/>
            <w:noWrap/>
            <w:vAlign w:val="center"/>
          </w:tcPr>
          <w:p w14:paraId="2105B3AA"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72CA4564"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1D1A112E"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0B107C31"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Estonia</w:t>
            </w:r>
          </w:p>
        </w:tc>
        <w:tc>
          <w:tcPr>
            <w:tcW w:w="1832" w:type="dxa"/>
            <w:tcBorders>
              <w:top w:val="nil"/>
              <w:left w:val="nil"/>
              <w:bottom w:val="single" w:sz="4" w:space="0" w:color="auto"/>
              <w:right w:val="single" w:sz="4" w:space="0" w:color="auto"/>
            </w:tcBorders>
            <w:shd w:val="clear" w:color="auto" w:fill="auto"/>
            <w:noWrap/>
            <w:vAlign w:val="center"/>
          </w:tcPr>
          <w:p w14:paraId="12792A16"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4D505001"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35CB64F3"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0C11CAE2"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Finland</w:t>
            </w:r>
          </w:p>
        </w:tc>
        <w:tc>
          <w:tcPr>
            <w:tcW w:w="1832" w:type="dxa"/>
            <w:tcBorders>
              <w:top w:val="nil"/>
              <w:left w:val="nil"/>
              <w:bottom w:val="single" w:sz="4" w:space="0" w:color="auto"/>
              <w:right w:val="single" w:sz="4" w:space="0" w:color="auto"/>
            </w:tcBorders>
            <w:shd w:val="clear" w:color="auto" w:fill="auto"/>
            <w:noWrap/>
            <w:vAlign w:val="center"/>
          </w:tcPr>
          <w:p w14:paraId="21A10A48"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3A143F41"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63E6807F"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56EC8AEE"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France</w:t>
            </w:r>
          </w:p>
        </w:tc>
        <w:tc>
          <w:tcPr>
            <w:tcW w:w="1832" w:type="dxa"/>
            <w:tcBorders>
              <w:top w:val="nil"/>
              <w:left w:val="nil"/>
              <w:bottom w:val="single" w:sz="4" w:space="0" w:color="auto"/>
              <w:right w:val="single" w:sz="4" w:space="0" w:color="auto"/>
            </w:tcBorders>
            <w:shd w:val="clear" w:color="auto" w:fill="auto"/>
            <w:noWrap/>
            <w:vAlign w:val="center"/>
          </w:tcPr>
          <w:p w14:paraId="4B9A9F55"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05DF55AD"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40830767"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1CDC8040"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Germany</w:t>
            </w:r>
          </w:p>
        </w:tc>
        <w:tc>
          <w:tcPr>
            <w:tcW w:w="1832" w:type="dxa"/>
            <w:tcBorders>
              <w:top w:val="nil"/>
              <w:left w:val="nil"/>
              <w:bottom w:val="single" w:sz="4" w:space="0" w:color="auto"/>
              <w:right w:val="single" w:sz="4" w:space="0" w:color="auto"/>
            </w:tcBorders>
            <w:shd w:val="clear" w:color="auto" w:fill="auto"/>
            <w:noWrap/>
            <w:vAlign w:val="center"/>
          </w:tcPr>
          <w:p w14:paraId="5230D13E"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35D827FE"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36030197"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7DBFC2DF"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Greece</w:t>
            </w:r>
          </w:p>
        </w:tc>
        <w:tc>
          <w:tcPr>
            <w:tcW w:w="1832" w:type="dxa"/>
            <w:tcBorders>
              <w:top w:val="nil"/>
              <w:left w:val="nil"/>
              <w:bottom w:val="single" w:sz="4" w:space="0" w:color="auto"/>
              <w:right w:val="single" w:sz="4" w:space="0" w:color="auto"/>
            </w:tcBorders>
            <w:shd w:val="clear" w:color="auto" w:fill="auto"/>
            <w:noWrap/>
            <w:vAlign w:val="center"/>
          </w:tcPr>
          <w:p w14:paraId="40A3D7A7"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6894F835"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1AC4C47A"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2C60CCC2"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Hungary</w:t>
            </w:r>
          </w:p>
        </w:tc>
        <w:tc>
          <w:tcPr>
            <w:tcW w:w="1832" w:type="dxa"/>
            <w:tcBorders>
              <w:top w:val="nil"/>
              <w:left w:val="nil"/>
              <w:bottom w:val="single" w:sz="4" w:space="0" w:color="auto"/>
              <w:right w:val="single" w:sz="4" w:space="0" w:color="auto"/>
            </w:tcBorders>
            <w:shd w:val="clear" w:color="auto" w:fill="auto"/>
            <w:noWrap/>
            <w:vAlign w:val="center"/>
          </w:tcPr>
          <w:p w14:paraId="189BEC38"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30C1ED99"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6C812E3B"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09B23126"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Iceland</w:t>
            </w:r>
          </w:p>
        </w:tc>
        <w:tc>
          <w:tcPr>
            <w:tcW w:w="1832" w:type="dxa"/>
            <w:tcBorders>
              <w:top w:val="nil"/>
              <w:left w:val="nil"/>
              <w:bottom w:val="single" w:sz="4" w:space="0" w:color="auto"/>
              <w:right w:val="single" w:sz="4" w:space="0" w:color="auto"/>
            </w:tcBorders>
            <w:shd w:val="clear" w:color="auto" w:fill="auto"/>
            <w:noWrap/>
            <w:vAlign w:val="center"/>
          </w:tcPr>
          <w:p w14:paraId="14143475" w14:textId="77777777" w:rsidR="005A603E" w:rsidRPr="00E91572" w:rsidRDefault="005A603E" w:rsidP="00671FE7">
            <w:pPr>
              <w:jc w:val="center"/>
              <w:rPr>
                <w:rFonts w:eastAsia="ヒラギノ角ゴ Pro W3" w:cs="Calibri"/>
                <w:iCs/>
                <w:lang w:val="en-GB"/>
              </w:rPr>
            </w:pPr>
          </w:p>
        </w:tc>
        <w:tc>
          <w:tcPr>
            <w:tcW w:w="1832" w:type="dxa"/>
            <w:tcBorders>
              <w:top w:val="nil"/>
              <w:left w:val="nil"/>
              <w:bottom w:val="single" w:sz="4" w:space="0" w:color="auto"/>
              <w:right w:val="single" w:sz="4" w:space="0" w:color="auto"/>
            </w:tcBorders>
            <w:shd w:val="clear" w:color="auto" w:fill="auto"/>
            <w:noWrap/>
            <w:vAlign w:val="center"/>
          </w:tcPr>
          <w:p w14:paraId="662D2213"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69AE9FA5"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32D78CE3"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Ireland</w:t>
            </w:r>
          </w:p>
        </w:tc>
        <w:tc>
          <w:tcPr>
            <w:tcW w:w="1832" w:type="dxa"/>
            <w:tcBorders>
              <w:top w:val="nil"/>
              <w:left w:val="nil"/>
              <w:bottom w:val="single" w:sz="4" w:space="0" w:color="auto"/>
              <w:right w:val="single" w:sz="4" w:space="0" w:color="auto"/>
            </w:tcBorders>
            <w:shd w:val="clear" w:color="auto" w:fill="auto"/>
            <w:noWrap/>
            <w:vAlign w:val="center"/>
          </w:tcPr>
          <w:p w14:paraId="1244B942"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7183D5D1"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069E27A6"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6B2F6C5C"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Italy</w:t>
            </w:r>
          </w:p>
        </w:tc>
        <w:tc>
          <w:tcPr>
            <w:tcW w:w="1832" w:type="dxa"/>
            <w:tcBorders>
              <w:top w:val="nil"/>
              <w:left w:val="nil"/>
              <w:bottom w:val="single" w:sz="4" w:space="0" w:color="auto"/>
              <w:right w:val="single" w:sz="4" w:space="0" w:color="auto"/>
            </w:tcBorders>
            <w:shd w:val="clear" w:color="auto" w:fill="auto"/>
            <w:noWrap/>
            <w:vAlign w:val="center"/>
          </w:tcPr>
          <w:p w14:paraId="155CE316"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27807891"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2F09137B"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7C63BE07"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Latvia</w:t>
            </w:r>
          </w:p>
        </w:tc>
        <w:tc>
          <w:tcPr>
            <w:tcW w:w="1832" w:type="dxa"/>
            <w:tcBorders>
              <w:top w:val="nil"/>
              <w:left w:val="nil"/>
              <w:bottom w:val="single" w:sz="4" w:space="0" w:color="auto"/>
              <w:right w:val="single" w:sz="4" w:space="0" w:color="auto"/>
            </w:tcBorders>
            <w:shd w:val="clear" w:color="auto" w:fill="auto"/>
            <w:noWrap/>
            <w:vAlign w:val="center"/>
          </w:tcPr>
          <w:p w14:paraId="197E11A0"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1476DD00"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5361CA95"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0A3D1E4B"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Liechtenstein</w:t>
            </w:r>
          </w:p>
        </w:tc>
        <w:tc>
          <w:tcPr>
            <w:tcW w:w="1832" w:type="dxa"/>
            <w:tcBorders>
              <w:top w:val="nil"/>
              <w:left w:val="nil"/>
              <w:bottom w:val="single" w:sz="4" w:space="0" w:color="auto"/>
              <w:right w:val="single" w:sz="4" w:space="0" w:color="auto"/>
            </w:tcBorders>
            <w:shd w:val="clear" w:color="auto" w:fill="auto"/>
            <w:noWrap/>
            <w:vAlign w:val="center"/>
          </w:tcPr>
          <w:p w14:paraId="65BFD718" w14:textId="77777777" w:rsidR="005A603E" w:rsidRPr="00E91572" w:rsidRDefault="005A603E" w:rsidP="00671FE7">
            <w:pPr>
              <w:jc w:val="center"/>
              <w:rPr>
                <w:rFonts w:eastAsia="ヒラギノ角ゴ Pro W3" w:cs="Calibri"/>
                <w:iCs/>
                <w:lang w:val="en-GB"/>
              </w:rPr>
            </w:pPr>
          </w:p>
        </w:tc>
        <w:tc>
          <w:tcPr>
            <w:tcW w:w="1832" w:type="dxa"/>
            <w:tcBorders>
              <w:top w:val="nil"/>
              <w:left w:val="nil"/>
              <w:bottom w:val="single" w:sz="4" w:space="0" w:color="auto"/>
              <w:right w:val="single" w:sz="4" w:space="0" w:color="auto"/>
            </w:tcBorders>
            <w:shd w:val="clear" w:color="auto" w:fill="auto"/>
            <w:noWrap/>
            <w:vAlign w:val="center"/>
          </w:tcPr>
          <w:p w14:paraId="0BABA83C"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5B8A1115"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69A5863A"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Lithuania</w:t>
            </w:r>
          </w:p>
        </w:tc>
        <w:tc>
          <w:tcPr>
            <w:tcW w:w="1832" w:type="dxa"/>
            <w:tcBorders>
              <w:top w:val="nil"/>
              <w:left w:val="nil"/>
              <w:bottom w:val="single" w:sz="4" w:space="0" w:color="auto"/>
              <w:right w:val="single" w:sz="4" w:space="0" w:color="auto"/>
            </w:tcBorders>
            <w:shd w:val="clear" w:color="auto" w:fill="auto"/>
            <w:noWrap/>
            <w:vAlign w:val="center"/>
          </w:tcPr>
          <w:p w14:paraId="0E1B3F95"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4662E8CE"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31FCB4BF"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5ABE4232"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Luxembourg</w:t>
            </w:r>
          </w:p>
        </w:tc>
        <w:tc>
          <w:tcPr>
            <w:tcW w:w="1832" w:type="dxa"/>
            <w:tcBorders>
              <w:top w:val="nil"/>
              <w:left w:val="nil"/>
              <w:bottom w:val="single" w:sz="4" w:space="0" w:color="auto"/>
              <w:right w:val="single" w:sz="4" w:space="0" w:color="auto"/>
            </w:tcBorders>
            <w:shd w:val="clear" w:color="auto" w:fill="auto"/>
            <w:noWrap/>
            <w:vAlign w:val="center"/>
          </w:tcPr>
          <w:p w14:paraId="4FFE63C3"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6D460362"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7D9D5F5A"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46AEDDD3"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Malta</w:t>
            </w:r>
          </w:p>
        </w:tc>
        <w:tc>
          <w:tcPr>
            <w:tcW w:w="1832" w:type="dxa"/>
            <w:tcBorders>
              <w:top w:val="nil"/>
              <w:left w:val="nil"/>
              <w:bottom w:val="single" w:sz="4" w:space="0" w:color="auto"/>
              <w:right w:val="single" w:sz="4" w:space="0" w:color="auto"/>
            </w:tcBorders>
            <w:shd w:val="clear" w:color="auto" w:fill="auto"/>
            <w:noWrap/>
            <w:vAlign w:val="center"/>
          </w:tcPr>
          <w:p w14:paraId="3D80CAB5"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10ED608B"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4A510A70"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195FFC01"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Netherlands</w:t>
            </w:r>
          </w:p>
        </w:tc>
        <w:tc>
          <w:tcPr>
            <w:tcW w:w="1832" w:type="dxa"/>
            <w:tcBorders>
              <w:top w:val="nil"/>
              <w:left w:val="nil"/>
              <w:bottom w:val="single" w:sz="4" w:space="0" w:color="auto"/>
              <w:right w:val="single" w:sz="4" w:space="0" w:color="auto"/>
            </w:tcBorders>
            <w:shd w:val="clear" w:color="auto" w:fill="auto"/>
            <w:noWrap/>
            <w:vAlign w:val="center"/>
          </w:tcPr>
          <w:p w14:paraId="12537308"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2670A405"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13ADC56E"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220A547D"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Norway</w:t>
            </w:r>
          </w:p>
        </w:tc>
        <w:tc>
          <w:tcPr>
            <w:tcW w:w="1832" w:type="dxa"/>
            <w:tcBorders>
              <w:top w:val="nil"/>
              <w:left w:val="nil"/>
              <w:bottom w:val="single" w:sz="4" w:space="0" w:color="auto"/>
              <w:right w:val="single" w:sz="4" w:space="0" w:color="auto"/>
            </w:tcBorders>
            <w:shd w:val="clear" w:color="auto" w:fill="auto"/>
            <w:noWrap/>
            <w:vAlign w:val="center"/>
          </w:tcPr>
          <w:p w14:paraId="0158052C" w14:textId="77777777" w:rsidR="005A603E" w:rsidRPr="00E91572" w:rsidRDefault="005A603E" w:rsidP="00671FE7">
            <w:pPr>
              <w:jc w:val="center"/>
              <w:rPr>
                <w:rFonts w:eastAsia="ヒラギノ角ゴ Pro W3" w:cs="Calibri"/>
                <w:iCs/>
                <w:lang w:val="en-GB"/>
              </w:rPr>
            </w:pPr>
          </w:p>
        </w:tc>
        <w:tc>
          <w:tcPr>
            <w:tcW w:w="1832" w:type="dxa"/>
            <w:tcBorders>
              <w:top w:val="nil"/>
              <w:left w:val="nil"/>
              <w:bottom w:val="single" w:sz="4" w:space="0" w:color="auto"/>
              <w:right w:val="single" w:sz="4" w:space="0" w:color="auto"/>
            </w:tcBorders>
            <w:shd w:val="clear" w:color="auto" w:fill="auto"/>
            <w:noWrap/>
            <w:vAlign w:val="center"/>
          </w:tcPr>
          <w:p w14:paraId="28CB2095"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60BA6D39"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0C7BCF04"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Poland</w:t>
            </w:r>
          </w:p>
        </w:tc>
        <w:tc>
          <w:tcPr>
            <w:tcW w:w="1832" w:type="dxa"/>
            <w:tcBorders>
              <w:top w:val="nil"/>
              <w:left w:val="nil"/>
              <w:bottom w:val="single" w:sz="4" w:space="0" w:color="auto"/>
              <w:right w:val="single" w:sz="4" w:space="0" w:color="auto"/>
            </w:tcBorders>
            <w:shd w:val="clear" w:color="auto" w:fill="auto"/>
            <w:noWrap/>
            <w:vAlign w:val="center"/>
          </w:tcPr>
          <w:p w14:paraId="04C17136"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0C20C88C"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48C4F2EF"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6AFD1B67"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Portugal</w:t>
            </w:r>
          </w:p>
        </w:tc>
        <w:tc>
          <w:tcPr>
            <w:tcW w:w="1832" w:type="dxa"/>
            <w:tcBorders>
              <w:top w:val="nil"/>
              <w:left w:val="nil"/>
              <w:bottom w:val="single" w:sz="4" w:space="0" w:color="auto"/>
              <w:right w:val="single" w:sz="4" w:space="0" w:color="auto"/>
            </w:tcBorders>
            <w:shd w:val="clear" w:color="auto" w:fill="auto"/>
            <w:noWrap/>
            <w:vAlign w:val="center"/>
          </w:tcPr>
          <w:p w14:paraId="0B1131F6"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2DB66171"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5018017B"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46A88E38"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Romania</w:t>
            </w:r>
          </w:p>
        </w:tc>
        <w:tc>
          <w:tcPr>
            <w:tcW w:w="1832" w:type="dxa"/>
            <w:tcBorders>
              <w:top w:val="nil"/>
              <w:left w:val="nil"/>
              <w:bottom w:val="single" w:sz="4" w:space="0" w:color="auto"/>
              <w:right w:val="single" w:sz="4" w:space="0" w:color="auto"/>
            </w:tcBorders>
            <w:shd w:val="clear" w:color="auto" w:fill="auto"/>
            <w:noWrap/>
            <w:vAlign w:val="center"/>
          </w:tcPr>
          <w:p w14:paraId="4B64DA8D"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772135C0"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09F95E73"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43FDB9E7"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Slovak Republic</w:t>
            </w:r>
          </w:p>
        </w:tc>
        <w:tc>
          <w:tcPr>
            <w:tcW w:w="1832" w:type="dxa"/>
            <w:tcBorders>
              <w:top w:val="nil"/>
              <w:left w:val="nil"/>
              <w:bottom w:val="single" w:sz="4" w:space="0" w:color="auto"/>
              <w:right w:val="single" w:sz="4" w:space="0" w:color="auto"/>
            </w:tcBorders>
            <w:shd w:val="clear" w:color="auto" w:fill="auto"/>
            <w:noWrap/>
            <w:vAlign w:val="center"/>
          </w:tcPr>
          <w:p w14:paraId="77D1B42C"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42F9F358"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341BAE01"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3EA90F56"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Slovenia</w:t>
            </w:r>
          </w:p>
        </w:tc>
        <w:tc>
          <w:tcPr>
            <w:tcW w:w="1832" w:type="dxa"/>
            <w:tcBorders>
              <w:top w:val="nil"/>
              <w:left w:val="nil"/>
              <w:bottom w:val="single" w:sz="4" w:space="0" w:color="auto"/>
              <w:right w:val="single" w:sz="4" w:space="0" w:color="auto"/>
            </w:tcBorders>
            <w:shd w:val="clear" w:color="auto" w:fill="auto"/>
            <w:noWrap/>
            <w:vAlign w:val="center"/>
          </w:tcPr>
          <w:p w14:paraId="76BE1A80"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760B8C8B"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1B959CC2"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24EF196F"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Spain</w:t>
            </w:r>
          </w:p>
        </w:tc>
        <w:tc>
          <w:tcPr>
            <w:tcW w:w="1832" w:type="dxa"/>
            <w:tcBorders>
              <w:top w:val="nil"/>
              <w:left w:val="nil"/>
              <w:bottom w:val="single" w:sz="4" w:space="0" w:color="auto"/>
              <w:right w:val="single" w:sz="4" w:space="0" w:color="auto"/>
            </w:tcBorders>
            <w:shd w:val="clear" w:color="auto" w:fill="auto"/>
            <w:noWrap/>
            <w:vAlign w:val="center"/>
          </w:tcPr>
          <w:p w14:paraId="03AF6C3A"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7BD7A9AF"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09C64934" w14:textId="77777777" w:rsidTr="00671FE7">
        <w:trPr>
          <w:trHeight w:val="255"/>
        </w:trPr>
        <w:tc>
          <w:tcPr>
            <w:tcW w:w="1641" w:type="dxa"/>
            <w:tcBorders>
              <w:top w:val="nil"/>
              <w:left w:val="single" w:sz="4" w:space="0" w:color="auto"/>
              <w:bottom w:val="single" w:sz="4" w:space="0" w:color="auto"/>
              <w:right w:val="single" w:sz="4" w:space="0" w:color="auto"/>
            </w:tcBorders>
            <w:shd w:val="clear" w:color="auto" w:fill="auto"/>
            <w:noWrap/>
            <w:vAlign w:val="center"/>
          </w:tcPr>
          <w:p w14:paraId="55AB6D75"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Sweden</w:t>
            </w:r>
          </w:p>
        </w:tc>
        <w:tc>
          <w:tcPr>
            <w:tcW w:w="1832" w:type="dxa"/>
            <w:tcBorders>
              <w:top w:val="nil"/>
              <w:left w:val="nil"/>
              <w:bottom w:val="single" w:sz="4" w:space="0" w:color="auto"/>
              <w:right w:val="single" w:sz="4" w:space="0" w:color="auto"/>
            </w:tcBorders>
            <w:shd w:val="clear" w:color="auto" w:fill="auto"/>
            <w:noWrap/>
            <w:vAlign w:val="center"/>
          </w:tcPr>
          <w:p w14:paraId="2C92F713"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c>
          <w:tcPr>
            <w:tcW w:w="1832" w:type="dxa"/>
            <w:tcBorders>
              <w:top w:val="nil"/>
              <w:left w:val="nil"/>
              <w:bottom w:val="single" w:sz="4" w:space="0" w:color="auto"/>
              <w:right w:val="single" w:sz="4" w:space="0" w:color="auto"/>
            </w:tcBorders>
            <w:shd w:val="clear" w:color="auto" w:fill="auto"/>
            <w:noWrap/>
            <w:vAlign w:val="center"/>
          </w:tcPr>
          <w:p w14:paraId="1D1D5804"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3F7E4B09" w14:textId="77777777" w:rsidTr="00671FE7">
        <w:trPr>
          <w:trHeight w:val="255"/>
        </w:trPr>
        <w:tc>
          <w:tcPr>
            <w:tcW w:w="1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308C4" w14:textId="77777777" w:rsidR="005A603E" w:rsidRPr="00E91572" w:rsidRDefault="005A603E" w:rsidP="00671FE7">
            <w:pPr>
              <w:rPr>
                <w:rFonts w:eastAsia="ヒラギノ角ゴ Pro W3" w:cs="Calibri"/>
                <w:iCs/>
                <w:lang w:val="en-GB"/>
              </w:rPr>
            </w:pPr>
            <w:r w:rsidRPr="00E91572">
              <w:rPr>
                <w:rFonts w:eastAsia="ヒラギノ角ゴ Pro W3" w:cs="Calibri"/>
                <w:iCs/>
                <w:lang w:val="en-GB"/>
              </w:rPr>
              <w:t>United Kingdom</w:t>
            </w:r>
          </w:p>
        </w:tc>
        <w:tc>
          <w:tcPr>
            <w:tcW w:w="1832" w:type="dxa"/>
            <w:tcBorders>
              <w:top w:val="single" w:sz="4" w:space="0" w:color="auto"/>
              <w:left w:val="nil"/>
              <w:bottom w:val="single" w:sz="4" w:space="0" w:color="auto"/>
              <w:right w:val="single" w:sz="4" w:space="0" w:color="auto"/>
            </w:tcBorders>
            <w:shd w:val="clear" w:color="auto" w:fill="auto"/>
            <w:noWrap/>
            <w:vAlign w:val="center"/>
          </w:tcPr>
          <w:p w14:paraId="04A3F583" w14:textId="77777777" w:rsidR="005A603E" w:rsidRPr="00E91572" w:rsidRDefault="005A603E" w:rsidP="00671FE7">
            <w:pPr>
              <w:jc w:val="center"/>
              <w:rPr>
                <w:rFonts w:eastAsia="ヒラギノ角ゴ Pro W3" w:cs="Calibri"/>
                <w:iCs/>
                <w:lang w:val="en-GB"/>
              </w:rPr>
            </w:pPr>
          </w:p>
        </w:tc>
        <w:tc>
          <w:tcPr>
            <w:tcW w:w="1832" w:type="dxa"/>
            <w:tcBorders>
              <w:top w:val="single" w:sz="4" w:space="0" w:color="auto"/>
              <w:left w:val="nil"/>
              <w:bottom w:val="single" w:sz="4" w:space="0" w:color="auto"/>
              <w:right w:val="single" w:sz="4" w:space="0" w:color="auto"/>
            </w:tcBorders>
            <w:shd w:val="clear" w:color="auto" w:fill="auto"/>
            <w:noWrap/>
            <w:vAlign w:val="center"/>
          </w:tcPr>
          <w:p w14:paraId="210E5FCF" w14:textId="77777777" w:rsidR="005A603E" w:rsidRPr="00E91572" w:rsidRDefault="005A603E" w:rsidP="00671FE7">
            <w:pPr>
              <w:jc w:val="center"/>
              <w:rPr>
                <w:rFonts w:eastAsia="ヒラギノ角ゴ Pro W3" w:cs="Calibri"/>
                <w:iCs/>
                <w:lang w:val="en-GB"/>
              </w:rPr>
            </w:pPr>
            <w:r w:rsidRPr="00E91572">
              <w:rPr>
                <w:rFonts w:eastAsia="ヒラギノ角ゴ Pro W3" w:cs="Calibri"/>
                <w:iCs/>
                <w:lang w:val="en-GB"/>
              </w:rPr>
              <w:t>x</w:t>
            </w:r>
          </w:p>
        </w:tc>
      </w:tr>
      <w:tr w:rsidR="005A603E" w:rsidRPr="00E91572" w14:paraId="1357D853" w14:textId="77777777" w:rsidTr="00671FE7">
        <w:trPr>
          <w:trHeight w:val="255"/>
        </w:trPr>
        <w:tc>
          <w:tcPr>
            <w:tcW w:w="1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17301" w14:textId="77777777" w:rsidR="005A603E" w:rsidRPr="00E91572" w:rsidRDefault="005A603E" w:rsidP="00671FE7">
            <w:pPr>
              <w:rPr>
                <w:rFonts w:eastAsia="ヒラギノ角ゴ Pro W3" w:cs="Calibri"/>
                <w:iCs/>
                <w:lang w:val="en-GB"/>
              </w:rPr>
            </w:pPr>
            <w:r>
              <w:rPr>
                <w:rFonts w:eastAsia="ヒラギノ角ゴ Pro W3" w:cs="Calibri"/>
                <w:iCs/>
                <w:lang w:val="en-GB"/>
              </w:rPr>
              <w:t>Northern Ireland</w:t>
            </w:r>
          </w:p>
        </w:tc>
        <w:tc>
          <w:tcPr>
            <w:tcW w:w="1832" w:type="dxa"/>
            <w:tcBorders>
              <w:top w:val="single" w:sz="4" w:space="0" w:color="auto"/>
              <w:left w:val="nil"/>
              <w:bottom w:val="single" w:sz="4" w:space="0" w:color="auto"/>
              <w:right w:val="single" w:sz="4" w:space="0" w:color="auto"/>
            </w:tcBorders>
            <w:shd w:val="clear" w:color="auto" w:fill="auto"/>
            <w:noWrap/>
            <w:vAlign w:val="center"/>
          </w:tcPr>
          <w:p w14:paraId="1775EC4B" w14:textId="77777777" w:rsidR="005A603E" w:rsidRPr="00E91572" w:rsidRDefault="005A603E" w:rsidP="00671FE7">
            <w:pPr>
              <w:jc w:val="center"/>
              <w:rPr>
                <w:rFonts w:eastAsia="ヒラギノ角ゴ Pro W3" w:cs="Calibri"/>
                <w:iCs/>
                <w:lang w:val="en-GB"/>
              </w:rPr>
            </w:pPr>
          </w:p>
        </w:tc>
        <w:tc>
          <w:tcPr>
            <w:tcW w:w="1832" w:type="dxa"/>
            <w:tcBorders>
              <w:top w:val="single" w:sz="4" w:space="0" w:color="auto"/>
              <w:left w:val="nil"/>
              <w:bottom w:val="single" w:sz="4" w:space="0" w:color="auto"/>
              <w:right w:val="single" w:sz="4" w:space="0" w:color="auto"/>
            </w:tcBorders>
            <w:shd w:val="clear" w:color="auto" w:fill="auto"/>
            <w:noWrap/>
            <w:vAlign w:val="center"/>
          </w:tcPr>
          <w:p w14:paraId="21F6C7B3" w14:textId="77777777" w:rsidR="005A603E" w:rsidRPr="00E91572" w:rsidRDefault="005A603E" w:rsidP="00671FE7">
            <w:pPr>
              <w:jc w:val="center"/>
              <w:rPr>
                <w:rFonts w:eastAsia="ヒラギノ角ゴ Pro W3" w:cs="Calibri"/>
                <w:iCs/>
                <w:lang w:val="en-GB"/>
              </w:rPr>
            </w:pPr>
            <w:r>
              <w:rPr>
                <w:rFonts w:eastAsia="ヒラギノ角ゴ Pro W3" w:cs="Calibri"/>
                <w:iCs/>
                <w:lang w:val="en-GB"/>
              </w:rPr>
              <w:t>x</w:t>
            </w:r>
          </w:p>
        </w:tc>
      </w:tr>
    </w:tbl>
    <w:p w14:paraId="6ECCE1F7" w14:textId="4505BED6" w:rsidR="00700445" w:rsidRDefault="00700445" w:rsidP="00700445"/>
    <w:p w14:paraId="4E049BE6" w14:textId="77777777" w:rsidR="005A603E" w:rsidRPr="00E91572" w:rsidRDefault="005A603E" w:rsidP="005A603E">
      <w:pPr>
        <w:spacing w:after="210" w:line="210" w:lineRule="atLeast"/>
        <w:rPr>
          <w:rFonts w:eastAsia="ヒラギノ角ゴ Pro W3" w:cs="Calibri"/>
          <w:iCs/>
          <w:lang w:val="en-GB"/>
        </w:rPr>
      </w:pPr>
      <w:r w:rsidRPr="00E91572">
        <w:rPr>
          <w:rFonts w:eastAsia="ヒラギノ角ゴ Pro W3" w:cs="Calibri"/>
          <w:iCs/>
          <w:lang w:val="en-GB"/>
        </w:rPr>
        <w:t>In addition, the auctioning of a number of allowances at EU level only, as part of the NER300 program, made it necessary to include an additional item “NER 300” in the list of countries.</w:t>
      </w:r>
    </w:p>
    <w:p w14:paraId="0876E632" w14:textId="5469C675" w:rsidR="00700445" w:rsidRPr="005A603E" w:rsidRDefault="00700445" w:rsidP="00700445">
      <w:pPr>
        <w:rPr>
          <w:lang w:val="en-GB"/>
        </w:rPr>
      </w:pPr>
    </w:p>
    <w:p w14:paraId="325E4F4F" w14:textId="77777777" w:rsidR="005A603E" w:rsidRPr="00E91572" w:rsidRDefault="005A603E" w:rsidP="005A603E">
      <w:pPr>
        <w:spacing w:after="210" w:line="210" w:lineRule="atLeast"/>
        <w:rPr>
          <w:rFonts w:eastAsia="ヒラギノ角ゴ Pro W3" w:cs="Calibri"/>
          <w:iCs/>
          <w:lang w:val="en-GB"/>
        </w:rPr>
      </w:pPr>
      <w:r w:rsidRPr="00E91572">
        <w:rPr>
          <w:rFonts w:eastAsia="ヒラギノ角ゴ Pro W3" w:cs="Calibri"/>
          <w:iCs/>
          <w:lang w:val="en-GB"/>
        </w:rPr>
        <w:br w:type="page"/>
      </w:r>
    </w:p>
    <w:p w14:paraId="4949F23D" w14:textId="6EFFB02E" w:rsidR="005A603E" w:rsidRPr="00700445" w:rsidRDefault="005A603E" w:rsidP="00AE7893">
      <w:pPr>
        <w:pStyle w:val="Heading1"/>
        <w:rPr>
          <w:lang w:val="en-GB"/>
        </w:rPr>
      </w:pPr>
      <w:bookmarkStart w:id="16" w:name="_Toc97126231"/>
      <w:r>
        <w:lastRenderedPageBreak/>
        <w:t>4 Temporal disaggregation</w:t>
      </w:r>
      <w:bookmarkEnd w:id="16"/>
    </w:p>
    <w:p w14:paraId="4DD09851" w14:textId="56704D51" w:rsidR="00700445" w:rsidRDefault="00700445" w:rsidP="00700445"/>
    <w:p w14:paraId="2454835F" w14:textId="77777777" w:rsidR="005A603E" w:rsidRPr="00E91572" w:rsidRDefault="005A603E" w:rsidP="005A603E">
      <w:pPr>
        <w:spacing w:before="40" w:after="40"/>
        <w:rPr>
          <w:rFonts w:eastAsia="ヒラギノ角ゴ Pro W3" w:cs="Calibri"/>
          <w:iCs/>
          <w:lang w:val="en-GB"/>
        </w:rPr>
      </w:pPr>
      <w:r w:rsidRPr="00E91572">
        <w:rPr>
          <w:rFonts w:eastAsia="ヒラギノ角ゴ Pro W3" w:cs="Calibri"/>
          <w:iCs/>
          <w:lang w:val="en-GB"/>
        </w:rPr>
        <w:t>Emission caps under the EU ETS are determined for multiannual trading periods, and operators must comply with their obligations on an annual basis. The nature of the entities covered under the EU ETS, as well as allocation rules might differ between trading periods. The first trading period (also called supplementary program commitment period) covered three years (2005-2007); the second trading period covered five years (2008-2012), while the third trading period (2013-2020) covers eight years. No ‘banking’ (carry-over) of EUAs was possible between the first and the second trading period.</w:t>
      </w:r>
    </w:p>
    <w:p w14:paraId="594095E6" w14:textId="77777777" w:rsidR="005A603E" w:rsidRPr="00E91572" w:rsidRDefault="005A603E" w:rsidP="005A603E">
      <w:pPr>
        <w:spacing w:before="40" w:after="40"/>
        <w:rPr>
          <w:rFonts w:eastAsia="ヒラギノ角ゴ Pro W3" w:cs="Calibri"/>
          <w:iCs/>
          <w:lang w:val="en-GB"/>
        </w:rPr>
      </w:pPr>
      <w:r w:rsidRPr="00E91572">
        <w:rPr>
          <w:rFonts w:eastAsia="ヒラギノ角ゴ Pro W3" w:cs="Calibri"/>
          <w:iCs/>
          <w:lang w:val="en-GB"/>
        </w:rPr>
        <w:t>The user can choose the following settings in the category 'year':</w:t>
      </w:r>
    </w:p>
    <w:p w14:paraId="1DC36FD9" w14:textId="76BB48F2" w:rsidR="005A603E" w:rsidRPr="00E91572" w:rsidRDefault="005A603E" w:rsidP="005A603E">
      <w:pPr>
        <w:numPr>
          <w:ilvl w:val="0"/>
          <w:numId w:val="3"/>
        </w:numPr>
        <w:spacing w:before="40" w:after="40"/>
        <w:rPr>
          <w:rFonts w:eastAsia="ヒラギノ角ゴ Pro W3" w:cs="Calibri"/>
          <w:iCs/>
          <w:lang w:val="en-GB"/>
        </w:rPr>
      </w:pPr>
      <w:r w:rsidRPr="00E91572">
        <w:rPr>
          <w:rFonts w:eastAsia="ヒラギノ角ゴ Pro W3" w:cs="Calibri"/>
          <w:iCs/>
          <w:lang w:val="en-GB"/>
        </w:rPr>
        <w:t>2005</w:t>
      </w:r>
      <w:r>
        <w:rPr>
          <w:rFonts w:eastAsia="ヒラギノ角ゴ Pro W3" w:cs="Calibri"/>
          <w:iCs/>
          <w:lang w:val="en-GB"/>
        </w:rPr>
        <w:t xml:space="preserve"> to 202</w:t>
      </w:r>
      <w:r w:rsidR="00010390">
        <w:rPr>
          <w:rFonts w:eastAsia="ヒラギノ角ゴ Pro W3" w:cs="Calibri"/>
          <w:iCs/>
          <w:lang w:val="en-GB"/>
        </w:rPr>
        <w:t>2</w:t>
      </w:r>
      <w:r w:rsidRPr="00E91572">
        <w:rPr>
          <w:rFonts w:eastAsia="ヒラギノ角ゴ Pro W3" w:cs="Calibri"/>
          <w:iCs/>
          <w:lang w:val="en-GB"/>
        </w:rPr>
        <w:t>: data for an individual year.</w:t>
      </w:r>
    </w:p>
    <w:p w14:paraId="6DA6A2C2" w14:textId="77777777" w:rsidR="005A603E" w:rsidRPr="00E91572" w:rsidRDefault="005A603E" w:rsidP="005A603E">
      <w:pPr>
        <w:numPr>
          <w:ilvl w:val="0"/>
          <w:numId w:val="3"/>
        </w:numPr>
        <w:spacing w:before="40" w:after="40"/>
        <w:rPr>
          <w:rFonts w:eastAsia="ヒラギノ角ゴ Pro W3" w:cs="Calibri"/>
          <w:iCs/>
          <w:lang w:val="en-GB"/>
        </w:rPr>
      </w:pPr>
      <w:r w:rsidRPr="00E91572">
        <w:rPr>
          <w:rFonts w:eastAsia="ヒラギノ角ゴ Pro W3" w:cs="Calibri"/>
          <w:iCs/>
          <w:lang w:val="en-GB"/>
        </w:rPr>
        <w:t>total 1</w:t>
      </w:r>
      <w:r w:rsidRPr="00E91572">
        <w:rPr>
          <w:rFonts w:eastAsia="ヒラギノ角ゴ Pro W3" w:cs="Calibri"/>
          <w:iCs/>
          <w:vertAlign w:val="superscript"/>
          <w:lang w:val="en-GB"/>
        </w:rPr>
        <w:t>st</w:t>
      </w:r>
      <w:r w:rsidRPr="00E91572">
        <w:rPr>
          <w:rFonts w:eastAsia="ヒラギノ角ゴ Pro W3" w:cs="Calibri"/>
          <w:iCs/>
          <w:lang w:val="en-GB"/>
        </w:rPr>
        <w:t xml:space="preserve"> trading period (2005–2007): sum of the three years (2005 to 2007) of the first trading period.</w:t>
      </w:r>
    </w:p>
    <w:p w14:paraId="2CBEDEE5" w14:textId="77777777" w:rsidR="005A603E" w:rsidRPr="00E91572" w:rsidRDefault="005A603E" w:rsidP="005A603E">
      <w:pPr>
        <w:numPr>
          <w:ilvl w:val="0"/>
          <w:numId w:val="3"/>
        </w:numPr>
        <w:spacing w:before="40" w:after="40"/>
        <w:rPr>
          <w:rFonts w:eastAsia="ヒラギノ角ゴ Pro W3" w:cs="Calibri"/>
          <w:iCs/>
          <w:lang w:val="en-GB"/>
        </w:rPr>
      </w:pPr>
      <w:r w:rsidRPr="00E91572">
        <w:rPr>
          <w:rFonts w:eastAsia="ヒラギノ角ゴ Pro W3" w:cs="Calibri"/>
          <w:iCs/>
          <w:lang w:val="en-GB"/>
        </w:rPr>
        <w:t>total 2</w:t>
      </w:r>
      <w:r w:rsidRPr="00E91572">
        <w:rPr>
          <w:rFonts w:eastAsia="ヒラギノ角ゴ Pro W3" w:cs="Calibri"/>
          <w:iCs/>
          <w:vertAlign w:val="superscript"/>
          <w:lang w:val="en-GB"/>
        </w:rPr>
        <w:t>nd</w:t>
      </w:r>
      <w:r w:rsidRPr="00E91572">
        <w:rPr>
          <w:rFonts w:eastAsia="ヒラギノ角ゴ Pro W3" w:cs="Calibri"/>
          <w:iCs/>
          <w:lang w:val="en-GB"/>
        </w:rPr>
        <w:t xml:space="preserve"> trading period (2008–2012): sum of the five years (2008 to 2012) of the second trading period.</w:t>
      </w:r>
    </w:p>
    <w:p w14:paraId="3179B8C1" w14:textId="32FCCB1C" w:rsidR="005A603E" w:rsidRDefault="005A603E" w:rsidP="005A603E">
      <w:pPr>
        <w:numPr>
          <w:ilvl w:val="0"/>
          <w:numId w:val="3"/>
        </w:numPr>
        <w:spacing w:before="40" w:after="40"/>
        <w:rPr>
          <w:rFonts w:eastAsia="ヒラギノ角ゴ Pro W3" w:cs="Calibri"/>
          <w:iCs/>
          <w:lang w:val="en-GB"/>
        </w:rPr>
      </w:pPr>
      <w:r w:rsidRPr="00E91572">
        <w:rPr>
          <w:rFonts w:eastAsia="ヒラギノ角ゴ Pro W3" w:cs="Calibri"/>
          <w:iCs/>
          <w:lang w:val="en-GB"/>
        </w:rPr>
        <w:t>total 3</w:t>
      </w:r>
      <w:r w:rsidRPr="00E91572">
        <w:rPr>
          <w:rFonts w:eastAsia="ヒラギノ角ゴ Pro W3" w:cs="Calibri"/>
          <w:iCs/>
          <w:vertAlign w:val="superscript"/>
          <w:lang w:val="en-GB"/>
        </w:rPr>
        <w:t>rd</w:t>
      </w:r>
      <w:r w:rsidRPr="00E91572">
        <w:rPr>
          <w:rFonts w:eastAsia="ヒラギノ角ゴ Pro W3" w:cs="Calibri"/>
          <w:iCs/>
          <w:lang w:val="en-GB"/>
        </w:rPr>
        <w:t xml:space="preserve"> trading period (2013–20</w:t>
      </w:r>
      <w:r>
        <w:rPr>
          <w:rFonts w:eastAsia="ヒラギノ角ゴ Pro W3" w:cs="Calibri"/>
          <w:iCs/>
          <w:lang w:val="en-GB"/>
        </w:rPr>
        <w:t>20</w:t>
      </w:r>
      <w:r w:rsidRPr="00E91572">
        <w:rPr>
          <w:rFonts w:eastAsia="ヒラギノ角ゴ Pro W3" w:cs="Calibri"/>
          <w:iCs/>
          <w:lang w:val="en-GB"/>
        </w:rPr>
        <w:t>)</w:t>
      </w:r>
    </w:p>
    <w:p w14:paraId="388211FA" w14:textId="143CED26" w:rsidR="00010390" w:rsidRDefault="00010390" w:rsidP="00010390">
      <w:pPr>
        <w:numPr>
          <w:ilvl w:val="0"/>
          <w:numId w:val="3"/>
        </w:numPr>
        <w:spacing w:before="40" w:after="40"/>
        <w:rPr>
          <w:rFonts w:eastAsia="ヒラギノ角ゴ Pro W3" w:cs="Calibri"/>
          <w:iCs/>
          <w:lang w:val="en-GB"/>
        </w:rPr>
      </w:pPr>
      <w:r w:rsidRPr="00E91572">
        <w:rPr>
          <w:rFonts w:eastAsia="ヒラギノ角ゴ Pro W3" w:cs="Calibri"/>
          <w:iCs/>
          <w:lang w:val="en-GB"/>
        </w:rPr>
        <w:t xml:space="preserve">total </w:t>
      </w:r>
      <w:r>
        <w:rPr>
          <w:rFonts w:eastAsia="ヒラギノ角ゴ Pro W3" w:cs="Calibri"/>
          <w:iCs/>
          <w:lang w:val="en-GB"/>
        </w:rPr>
        <w:t>4</w:t>
      </w:r>
      <w:r w:rsidRPr="00010390">
        <w:rPr>
          <w:rFonts w:eastAsia="ヒラギノ角ゴ Pro W3" w:cs="Calibri"/>
          <w:iCs/>
          <w:vertAlign w:val="superscript"/>
          <w:lang w:val="en-GB"/>
        </w:rPr>
        <w:t>th</w:t>
      </w:r>
      <w:r>
        <w:rPr>
          <w:rFonts w:eastAsia="ヒラギノ角ゴ Pro W3" w:cs="Calibri"/>
          <w:iCs/>
          <w:lang w:val="en-GB"/>
        </w:rPr>
        <w:t xml:space="preserve"> </w:t>
      </w:r>
      <w:r w:rsidRPr="00E91572">
        <w:rPr>
          <w:rFonts w:eastAsia="ヒラギノ角ゴ Pro W3" w:cs="Calibri"/>
          <w:iCs/>
          <w:lang w:val="en-GB"/>
        </w:rPr>
        <w:t>trading period (20</w:t>
      </w:r>
      <w:r>
        <w:rPr>
          <w:rFonts w:eastAsia="ヒラギノ角ゴ Pro W3" w:cs="Calibri"/>
          <w:iCs/>
          <w:lang w:val="en-GB"/>
        </w:rPr>
        <w:t>21</w:t>
      </w:r>
      <w:r w:rsidRPr="00E91572">
        <w:rPr>
          <w:rFonts w:eastAsia="ヒラギノ角ゴ Pro W3" w:cs="Calibri"/>
          <w:iCs/>
          <w:lang w:val="en-GB"/>
        </w:rPr>
        <w:t>–20</w:t>
      </w:r>
      <w:r>
        <w:rPr>
          <w:rFonts w:eastAsia="ヒラギノ角ゴ Pro W3" w:cs="Calibri"/>
          <w:iCs/>
          <w:lang w:val="en-GB"/>
        </w:rPr>
        <w:t>22</w:t>
      </w:r>
      <w:r w:rsidRPr="00E91572">
        <w:rPr>
          <w:rFonts w:eastAsia="ヒラギノ角ゴ Pro W3" w:cs="Calibri"/>
          <w:iCs/>
          <w:lang w:val="en-GB"/>
        </w:rPr>
        <w:t>)</w:t>
      </w:r>
    </w:p>
    <w:p w14:paraId="00628028" w14:textId="77777777" w:rsidR="00010390" w:rsidRPr="00010390" w:rsidRDefault="00010390" w:rsidP="00010390">
      <w:pPr>
        <w:spacing w:before="40" w:after="40"/>
        <w:ind w:left="360"/>
        <w:rPr>
          <w:rFonts w:eastAsia="ヒラギノ角ゴ Pro W3" w:cs="Calibri"/>
          <w:iCs/>
          <w:lang w:val="en-GB"/>
        </w:rPr>
      </w:pPr>
    </w:p>
    <w:p w14:paraId="492E3C09" w14:textId="21BD4DF8" w:rsidR="005A603E" w:rsidRDefault="005A603E" w:rsidP="005A603E">
      <w:pPr>
        <w:spacing w:after="210" w:line="210" w:lineRule="atLeast"/>
        <w:rPr>
          <w:rFonts w:eastAsia="ヒラギノ角ゴ Pro W3" w:cs="Calibri"/>
          <w:iCs/>
          <w:lang w:val="en-GB"/>
        </w:rPr>
      </w:pPr>
      <w:r w:rsidRPr="00E91572">
        <w:rPr>
          <w:rFonts w:eastAsia="ヒラギノ角ゴ Pro W3" w:cs="Calibri"/>
          <w:iCs/>
          <w:lang w:val="en-GB"/>
        </w:rPr>
        <w:t xml:space="preserve">As illustrated in </w:t>
      </w:r>
      <w:r w:rsidRPr="00E91572">
        <w:rPr>
          <w:rFonts w:eastAsia="ヒラギノ角ゴ Pro W3" w:cs="Calibri"/>
          <w:iCs/>
          <w:lang w:val="en-GB"/>
        </w:rPr>
        <w:fldChar w:fldCharType="begin"/>
      </w:r>
      <w:r w:rsidRPr="00E91572">
        <w:rPr>
          <w:rFonts w:eastAsia="ヒラギノ角ゴ Pro W3" w:cs="Calibri"/>
          <w:iCs/>
          <w:lang w:val="en-GB"/>
        </w:rPr>
        <w:instrText xml:space="preserve"> REF _Ref7693113 \h  \* MERGEFORMAT </w:instrText>
      </w:r>
      <w:r w:rsidRPr="00E91572">
        <w:rPr>
          <w:rFonts w:eastAsia="ヒラギノ角ゴ Pro W3" w:cs="Calibri"/>
          <w:iCs/>
          <w:lang w:val="en-GB"/>
        </w:rPr>
      </w:r>
      <w:r w:rsidRPr="00E91572">
        <w:rPr>
          <w:rFonts w:eastAsia="ヒラギノ角ゴ Pro W3" w:cs="Calibri"/>
          <w:iCs/>
          <w:lang w:val="en-GB"/>
        </w:rPr>
        <w:fldChar w:fldCharType="separate"/>
      </w:r>
      <w:r w:rsidRPr="00E91572">
        <w:t>Annex III – Estimates to reflect current ETS scope for stationary installations</w:t>
      </w:r>
      <w:r w:rsidRPr="00E91572">
        <w:rPr>
          <w:rFonts w:eastAsia="ヒラギノ角ゴ Pro W3" w:cs="Calibri"/>
          <w:iCs/>
          <w:lang w:val="en-GB"/>
        </w:rPr>
        <w:fldChar w:fldCharType="end"/>
      </w:r>
      <w:r w:rsidRPr="00E91572">
        <w:rPr>
          <w:rFonts w:eastAsia="ヒラギノ角ゴ Pro W3" w:cs="Calibri"/>
          <w:iCs/>
          <w:lang w:val="en-GB"/>
        </w:rPr>
        <w:t>, the number of countries participating in the EU ETS has increased over time. For example Bulgaria and Romania only entered the EU ETS in 2007. If 2005 or 2006 is selected, no data is shown for these two countries. The same applies to the selection of the years 2005, 2006 or 2007 for Norway and Liechtenstein who joined the EU ETS in 2008. For Iceland, no data is shown for the years 2005 to 2011 and for Croatia no data is shown for the years 2005 to 2012.</w:t>
      </w:r>
    </w:p>
    <w:p w14:paraId="7664F237" w14:textId="77777777" w:rsidR="005A603E" w:rsidRPr="005A603E" w:rsidRDefault="005A603E" w:rsidP="005A603E">
      <w:pPr>
        <w:spacing w:after="210" w:line="210" w:lineRule="atLeast"/>
        <w:rPr>
          <w:rFonts w:eastAsia="ヒラギノ角ゴ Pro W3" w:cs="Calibri"/>
          <w:iCs/>
          <w:lang w:val="en-GB"/>
        </w:rPr>
      </w:pPr>
    </w:p>
    <w:p w14:paraId="65287511" w14:textId="3CCEC06F" w:rsidR="005A603E" w:rsidRDefault="007A1B5D" w:rsidP="00AE7893">
      <w:pPr>
        <w:pStyle w:val="Heading1"/>
      </w:pPr>
      <w:bookmarkStart w:id="17" w:name="_Toc97126232"/>
      <w:r>
        <w:t>5 Information</w:t>
      </w:r>
      <w:bookmarkEnd w:id="17"/>
    </w:p>
    <w:p w14:paraId="62B9315F" w14:textId="486A3B98" w:rsidR="007A1B5D" w:rsidRDefault="007A1B5D" w:rsidP="00700445">
      <w:pPr>
        <w:rPr>
          <w:lang w:val="en-GB"/>
        </w:rPr>
      </w:pPr>
    </w:p>
    <w:p w14:paraId="108D0DBA" w14:textId="77777777" w:rsidR="007A1B5D" w:rsidRPr="00E91572" w:rsidRDefault="007A1B5D" w:rsidP="007A1B5D">
      <w:pPr>
        <w:spacing w:before="40" w:after="40"/>
        <w:rPr>
          <w:rFonts w:eastAsia="ヒラギノ角ゴ Pro W3" w:cs="Calibri"/>
          <w:iCs/>
          <w:lang w:val="en-GB"/>
        </w:rPr>
      </w:pPr>
      <w:r w:rsidRPr="00E91572">
        <w:rPr>
          <w:rFonts w:eastAsia="ヒラギノ角ゴ Pro W3" w:cs="Calibri"/>
          <w:iCs/>
          <w:lang w:val="en-GB"/>
        </w:rPr>
        <w:t>The EU ETS data viewer gives the possibility to visualise data related to one or several types of information related to the EU ETS (See table below).</w:t>
      </w:r>
    </w:p>
    <w:p w14:paraId="2E7D1B4C" w14:textId="3D0960E1" w:rsidR="007A1B5D" w:rsidRDefault="007A1B5D" w:rsidP="00700445">
      <w:pPr>
        <w:rPr>
          <w:lang w:val="en-GB"/>
        </w:rPr>
      </w:pPr>
    </w:p>
    <w:p w14:paraId="3866E350" w14:textId="632B28EA" w:rsidR="007A1B5D" w:rsidRDefault="007A1B5D" w:rsidP="00D7271E">
      <w:pPr>
        <w:pStyle w:val="Caption"/>
      </w:pPr>
      <w:r>
        <w:t>Table 5</w:t>
      </w:r>
      <w:r>
        <w:noBreakHyphen/>
      </w:r>
      <w:r>
        <w:fldChar w:fldCharType="begin"/>
      </w:r>
      <w:r>
        <w:instrText xml:space="preserve"> SEQ Figure \* ARABIC \s 1 </w:instrText>
      </w:r>
      <w:r>
        <w:fldChar w:fldCharType="separate"/>
      </w:r>
      <w:r>
        <w:rPr>
          <w:noProof/>
        </w:rPr>
        <w:t>1</w:t>
      </w:r>
      <w:r>
        <w:fldChar w:fldCharType="end"/>
      </w:r>
      <w:r>
        <w:t xml:space="preserve"> ETS information</w:t>
      </w:r>
    </w:p>
    <w:tbl>
      <w:tblPr>
        <w:tblStyle w:val="TableGrid"/>
        <w:tblW w:w="0" w:type="auto"/>
        <w:tblLook w:val="01E0" w:firstRow="1" w:lastRow="1" w:firstColumn="1" w:lastColumn="1" w:noHBand="0" w:noVBand="0"/>
      </w:tblPr>
      <w:tblGrid>
        <w:gridCol w:w="2835"/>
        <w:gridCol w:w="5669"/>
      </w:tblGrid>
      <w:tr w:rsidR="007A1B5D" w:rsidRPr="00E91572" w14:paraId="78038D9D" w14:textId="77777777" w:rsidTr="00671FE7">
        <w:tc>
          <w:tcPr>
            <w:tcW w:w="2835" w:type="dxa"/>
          </w:tcPr>
          <w:p w14:paraId="11C09C48" w14:textId="77777777" w:rsidR="007A1B5D" w:rsidRPr="00E91572" w:rsidRDefault="007A1B5D" w:rsidP="00671FE7">
            <w:pPr>
              <w:spacing w:before="40" w:after="40"/>
              <w:jc w:val="left"/>
              <w:rPr>
                <w:rFonts w:eastAsia="ヒラギノ角ゴ Pro W3" w:cs="Calibri"/>
                <w:b/>
                <w:iCs/>
                <w:lang w:val="en-GB"/>
              </w:rPr>
            </w:pPr>
            <w:r w:rsidRPr="00E91572">
              <w:rPr>
                <w:rFonts w:eastAsia="ヒラギノ角ゴ Pro W3" w:cs="Calibri"/>
                <w:b/>
                <w:iCs/>
                <w:lang w:val="en-GB"/>
              </w:rPr>
              <w:t>Item</w:t>
            </w:r>
          </w:p>
        </w:tc>
        <w:tc>
          <w:tcPr>
            <w:tcW w:w="5669" w:type="dxa"/>
          </w:tcPr>
          <w:p w14:paraId="253832DA" w14:textId="77777777" w:rsidR="007A1B5D" w:rsidRPr="00E91572" w:rsidRDefault="007A1B5D" w:rsidP="00671FE7">
            <w:pPr>
              <w:spacing w:before="40" w:after="40"/>
              <w:jc w:val="left"/>
              <w:rPr>
                <w:rFonts w:eastAsia="ヒラギノ角ゴ Pro W3" w:cs="Calibri"/>
                <w:b/>
                <w:iCs/>
                <w:lang w:val="en-GB"/>
              </w:rPr>
            </w:pPr>
            <w:r w:rsidRPr="00E91572">
              <w:rPr>
                <w:rFonts w:eastAsia="ヒラギノ角ゴ Pro W3" w:cs="Calibri"/>
                <w:b/>
                <w:iCs/>
                <w:lang w:val="en-GB"/>
              </w:rPr>
              <w:t>Description</w:t>
            </w:r>
          </w:p>
        </w:tc>
      </w:tr>
      <w:tr w:rsidR="007A1B5D" w:rsidRPr="00E91572" w14:paraId="0075F459" w14:textId="77777777" w:rsidTr="00671FE7">
        <w:tc>
          <w:tcPr>
            <w:tcW w:w="2835" w:type="dxa"/>
          </w:tcPr>
          <w:p w14:paraId="3B5CB79F"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 xml:space="preserve">1. Total allocated allowances (EUAs and EUAAs) </w:t>
            </w:r>
          </w:p>
        </w:tc>
        <w:tc>
          <w:tcPr>
            <w:tcW w:w="5669" w:type="dxa"/>
          </w:tcPr>
          <w:p w14:paraId="6EFD24B4"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Total number of allocated allowances.</w:t>
            </w:r>
          </w:p>
        </w:tc>
      </w:tr>
      <w:tr w:rsidR="007A1B5D" w:rsidRPr="00E91572" w14:paraId="6C798A7B" w14:textId="77777777" w:rsidTr="00671FE7">
        <w:tc>
          <w:tcPr>
            <w:tcW w:w="2835" w:type="dxa"/>
          </w:tcPr>
          <w:p w14:paraId="482B9DA0"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1.1. Freely allocated allowances</w:t>
            </w:r>
          </w:p>
        </w:tc>
        <w:tc>
          <w:tcPr>
            <w:tcW w:w="5669" w:type="dxa"/>
          </w:tcPr>
          <w:p w14:paraId="4C4ACBCE"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Total number of allowances received free of charge. This does not include allowances bought, e.g. through auctioning.</w:t>
            </w:r>
          </w:p>
        </w:tc>
      </w:tr>
      <w:tr w:rsidR="007A1B5D" w:rsidRPr="00E91572" w14:paraId="55783CBE" w14:textId="77777777" w:rsidTr="00671FE7">
        <w:tc>
          <w:tcPr>
            <w:tcW w:w="2835" w:type="dxa"/>
          </w:tcPr>
          <w:p w14:paraId="0DC27910"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1.1.1 Free allocation to existing entities (Art. 10a(1))</w:t>
            </w:r>
          </w:p>
        </w:tc>
        <w:tc>
          <w:tcPr>
            <w:tcW w:w="5669" w:type="dxa"/>
          </w:tcPr>
          <w:p w14:paraId="78AB0F56"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Number of allowances received free of charge by existing entities under Art. 10a(1) of the ETS Directive.</w:t>
            </w:r>
          </w:p>
        </w:tc>
      </w:tr>
      <w:tr w:rsidR="007A1B5D" w:rsidRPr="00E91572" w14:paraId="31C68648" w14:textId="77777777" w:rsidTr="00671FE7">
        <w:tc>
          <w:tcPr>
            <w:tcW w:w="2835" w:type="dxa"/>
          </w:tcPr>
          <w:p w14:paraId="00BF3173"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1.1.2 Free allocation from the new entrants reserve (Art. 10 a(7))</w:t>
            </w:r>
          </w:p>
        </w:tc>
        <w:tc>
          <w:tcPr>
            <w:tcW w:w="5669" w:type="dxa"/>
          </w:tcPr>
          <w:p w14:paraId="41D8B5E2"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Number of allowances received free of charge by new entities under Art. 10a(7) of the ETS Directive.</w:t>
            </w:r>
          </w:p>
        </w:tc>
      </w:tr>
      <w:tr w:rsidR="007A1B5D" w:rsidRPr="00E91572" w14:paraId="0B51EDAD" w14:textId="77777777" w:rsidTr="00671FE7">
        <w:tc>
          <w:tcPr>
            <w:tcW w:w="2835" w:type="dxa"/>
          </w:tcPr>
          <w:p w14:paraId="281A3BAB"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1.1.3 Free allocation for modernisation of electricity generation (Art. 10c)</w:t>
            </w:r>
          </w:p>
        </w:tc>
        <w:tc>
          <w:tcPr>
            <w:tcW w:w="5669" w:type="dxa"/>
          </w:tcPr>
          <w:p w14:paraId="116FDBDA"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Number of allowances received free of charge for a transitional period by electricity generators under Art. 10c of the ETS Directive to help modernise production.</w:t>
            </w:r>
          </w:p>
        </w:tc>
      </w:tr>
      <w:tr w:rsidR="007A1B5D" w:rsidRPr="00E91572" w14:paraId="624AFE0B" w14:textId="77777777" w:rsidTr="00671FE7">
        <w:tc>
          <w:tcPr>
            <w:tcW w:w="2835" w:type="dxa"/>
          </w:tcPr>
          <w:p w14:paraId="6117B128"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1.2. Correction to freely allocated allowances (not reflected in EUTL)</w:t>
            </w:r>
          </w:p>
        </w:tc>
        <w:tc>
          <w:tcPr>
            <w:tcW w:w="5669" w:type="dxa"/>
          </w:tcPr>
          <w:p w14:paraId="64F424EB"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Correction of the number of allowances allocated free of charge, due to:</w:t>
            </w:r>
          </w:p>
          <w:p w14:paraId="05393FF7" w14:textId="77777777" w:rsidR="007A1B5D" w:rsidRPr="00E91572" w:rsidRDefault="007A1B5D" w:rsidP="00671FE7">
            <w:pPr>
              <w:numPr>
                <w:ilvl w:val="0"/>
                <w:numId w:val="4"/>
              </w:numPr>
              <w:spacing w:before="40" w:after="40"/>
              <w:jc w:val="left"/>
              <w:rPr>
                <w:rFonts w:eastAsia="ヒラギノ角ゴ Pro W3" w:cs="Calibri"/>
                <w:iCs/>
                <w:lang w:val="en-GB"/>
              </w:rPr>
            </w:pPr>
            <w:r w:rsidRPr="00E91572">
              <w:rPr>
                <w:rFonts w:eastAsia="ヒラギノ角ゴ Pro W3" w:cs="Calibri"/>
                <w:iCs/>
                <w:lang w:val="en-GB"/>
              </w:rPr>
              <w:t>transfers of allowances in six countries;</w:t>
            </w:r>
          </w:p>
          <w:p w14:paraId="00578C20" w14:textId="77777777" w:rsidR="007A1B5D" w:rsidRPr="00E91572" w:rsidRDefault="007A1B5D" w:rsidP="00671FE7">
            <w:pPr>
              <w:numPr>
                <w:ilvl w:val="0"/>
                <w:numId w:val="4"/>
              </w:numPr>
              <w:spacing w:before="40" w:after="40"/>
              <w:jc w:val="left"/>
              <w:rPr>
                <w:rFonts w:eastAsia="ヒラギノ角ゴ Pro W3" w:cs="Calibri"/>
                <w:iCs/>
                <w:lang w:val="en-GB"/>
              </w:rPr>
            </w:pPr>
            <w:r w:rsidRPr="00E91572">
              <w:rPr>
                <w:rFonts w:eastAsia="ヒラギノ角ゴ Pro W3" w:cs="Calibri"/>
                <w:iCs/>
                <w:lang w:val="en-GB"/>
              </w:rPr>
              <w:lastRenderedPageBreak/>
              <w:t xml:space="preserve">adjustment of free allocation for aviation operators in the year 2012 due to the ‘stop the clock’ decision. </w:t>
            </w:r>
          </w:p>
          <w:p w14:paraId="39A74D3D"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 xml:space="preserve">These transfers and adjustments are not reflected in the EUTL (see further details in </w:t>
            </w:r>
            <w:r w:rsidRPr="00E91572">
              <w:rPr>
                <w:rFonts w:eastAsia="ヒラギノ角ゴ Pro W3" w:cs="Calibri"/>
                <w:iCs/>
                <w:lang w:val="en-GB"/>
              </w:rPr>
              <w:fldChar w:fldCharType="begin"/>
            </w:r>
            <w:r w:rsidRPr="00E91572">
              <w:rPr>
                <w:rFonts w:eastAsia="ヒラギノ角ゴ Pro W3" w:cs="Calibri"/>
                <w:iCs/>
                <w:lang w:val="en-GB"/>
              </w:rPr>
              <w:instrText xml:space="preserve"> REF _Ref7693297 \h  \* MERGEFORMAT </w:instrText>
            </w:r>
            <w:r w:rsidRPr="00E91572">
              <w:rPr>
                <w:rFonts w:eastAsia="ヒラギノ角ゴ Pro W3" w:cs="Calibri"/>
                <w:iCs/>
                <w:lang w:val="en-GB"/>
              </w:rPr>
            </w:r>
            <w:r w:rsidRPr="00E91572">
              <w:rPr>
                <w:rFonts w:eastAsia="ヒラギノ角ゴ Pro W3" w:cs="Calibri"/>
                <w:iCs/>
                <w:lang w:val="en-GB"/>
              </w:rPr>
              <w:fldChar w:fldCharType="separate"/>
            </w:r>
            <w:proofErr w:type="spellStart"/>
            <w:r w:rsidRPr="00E91572">
              <w:t>Annex</w:t>
            </w:r>
            <w:proofErr w:type="spellEnd"/>
            <w:r w:rsidRPr="00E91572">
              <w:t xml:space="preserve"> I – </w:t>
            </w:r>
            <w:proofErr w:type="spellStart"/>
            <w:r w:rsidRPr="00E91572">
              <w:t>Correction</w:t>
            </w:r>
            <w:proofErr w:type="spellEnd"/>
            <w:r w:rsidRPr="00E91572">
              <w:t xml:space="preserve"> of </w:t>
            </w:r>
            <w:proofErr w:type="spellStart"/>
            <w:r w:rsidRPr="00E91572">
              <w:t>freely</w:t>
            </w:r>
            <w:proofErr w:type="spellEnd"/>
            <w:r w:rsidRPr="00E91572">
              <w:t xml:space="preserve"> </w:t>
            </w:r>
            <w:proofErr w:type="spellStart"/>
            <w:r w:rsidRPr="00E91572">
              <w:t>allocated</w:t>
            </w:r>
            <w:proofErr w:type="spellEnd"/>
            <w:r w:rsidRPr="00E91572">
              <w:t xml:space="preserve"> </w:t>
            </w:r>
            <w:proofErr w:type="spellStart"/>
            <w:r w:rsidRPr="00E91572">
              <w:t>allowances</w:t>
            </w:r>
            <w:proofErr w:type="spellEnd"/>
            <w:r w:rsidRPr="00E91572">
              <w:rPr>
                <w:rFonts w:eastAsia="ヒラギノ角ゴ Pro W3" w:cs="Calibri"/>
                <w:iCs/>
                <w:lang w:val="en-GB"/>
              </w:rPr>
              <w:fldChar w:fldCharType="end"/>
            </w:r>
            <w:r w:rsidRPr="00E91572">
              <w:rPr>
                <w:rFonts w:eastAsia="ヒラギノ角ゴ Pro W3" w:cs="Calibri"/>
                <w:iCs/>
                <w:lang w:val="en-GB"/>
              </w:rPr>
              <w:t>).</w:t>
            </w:r>
          </w:p>
        </w:tc>
      </w:tr>
      <w:tr w:rsidR="007A1B5D" w:rsidRPr="00E91572" w14:paraId="5270ECBE" w14:textId="77777777" w:rsidTr="00671FE7">
        <w:tc>
          <w:tcPr>
            <w:tcW w:w="2835" w:type="dxa"/>
          </w:tcPr>
          <w:p w14:paraId="7200CEE6"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lastRenderedPageBreak/>
              <w:t>1.3 Allowances auctioned or sold (EUAs and EUAAs)</w:t>
            </w:r>
          </w:p>
        </w:tc>
        <w:tc>
          <w:tcPr>
            <w:tcW w:w="5669" w:type="dxa"/>
          </w:tcPr>
          <w:p w14:paraId="240E44C5"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 xml:space="preserve">Number of EUAs and EUAAs auctioned or sold by participating countries (see further details in </w:t>
            </w:r>
            <w:r w:rsidRPr="00E91572">
              <w:rPr>
                <w:rFonts w:eastAsia="ヒラギノ角ゴ Pro W3" w:cs="Calibri"/>
                <w:iCs/>
                <w:lang w:val="en-GB"/>
              </w:rPr>
              <w:fldChar w:fldCharType="begin"/>
            </w:r>
            <w:r w:rsidRPr="00E91572">
              <w:rPr>
                <w:rFonts w:eastAsia="ヒラギノ角ゴ Pro W3" w:cs="Calibri"/>
                <w:iCs/>
                <w:lang w:val="en-GB"/>
              </w:rPr>
              <w:instrText xml:space="preserve"> REF _Ref7693326 \h  \* MERGEFORMAT </w:instrText>
            </w:r>
            <w:r w:rsidRPr="00E91572">
              <w:rPr>
                <w:rFonts w:eastAsia="ヒラギノ角ゴ Pro W3" w:cs="Calibri"/>
                <w:iCs/>
                <w:lang w:val="en-GB"/>
              </w:rPr>
            </w:r>
            <w:r w:rsidRPr="00E91572">
              <w:rPr>
                <w:rFonts w:eastAsia="ヒラギノ角ゴ Pro W3" w:cs="Calibri"/>
                <w:iCs/>
                <w:lang w:val="en-GB"/>
              </w:rPr>
              <w:fldChar w:fldCharType="separate"/>
            </w:r>
            <w:proofErr w:type="spellStart"/>
            <w:r w:rsidRPr="00E91572">
              <w:t>Annex</w:t>
            </w:r>
            <w:proofErr w:type="spellEnd"/>
            <w:r w:rsidRPr="00E91572">
              <w:t xml:space="preserve"> II - </w:t>
            </w:r>
            <w:proofErr w:type="spellStart"/>
            <w:r w:rsidRPr="00E91572">
              <w:t>Auctioning</w:t>
            </w:r>
            <w:proofErr w:type="spellEnd"/>
            <w:r w:rsidRPr="00E91572">
              <w:rPr>
                <w:rFonts w:eastAsia="ヒラギノ角ゴ Pro W3" w:cs="Calibri"/>
                <w:iCs/>
                <w:lang w:val="en-GB"/>
              </w:rPr>
              <w:fldChar w:fldCharType="end"/>
            </w:r>
            <w:r w:rsidRPr="00E91572">
              <w:rPr>
                <w:rFonts w:eastAsia="ヒラギノ角ゴ Pro W3" w:cs="Calibri"/>
                <w:iCs/>
                <w:lang w:val="en-GB"/>
              </w:rPr>
              <w:t>).</w:t>
            </w:r>
          </w:p>
        </w:tc>
      </w:tr>
      <w:tr w:rsidR="007A1B5D" w:rsidRPr="00E91572" w14:paraId="02723402" w14:textId="77777777" w:rsidTr="00671FE7">
        <w:tc>
          <w:tcPr>
            <w:tcW w:w="2835" w:type="dxa"/>
          </w:tcPr>
          <w:p w14:paraId="5137112F"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2. Verified emissions</w:t>
            </w:r>
          </w:p>
        </w:tc>
        <w:tc>
          <w:tcPr>
            <w:tcW w:w="5669" w:type="dxa"/>
          </w:tcPr>
          <w:p w14:paraId="489B21F3"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 xml:space="preserve">Emissions of installations and aviation operators which have been verified by an independent third party. </w:t>
            </w:r>
          </w:p>
        </w:tc>
      </w:tr>
      <w:tr w:rsidR="007A1B5D" w:rsidRPr="00E91572" w14:paraId="77D734C7" w14:textId="77777777" w:rsidTr="00671FE7">
        <w:tc>
          <w:tcPr>
            <w:tcW w:w="2835" w:type="dxa"/>
          </w:tcPr>
          <w:p w14:paraId="7241E433"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 xml:space="preserve">3. Estimates to reflect current scope for allowances and emissions </w:t>
            </w:r>
          </w:p>
        </w:tc>
        <w:tc>
          <w:tcPr>
            <w:tcW w:w="5669" w:type="dxa"/>
          </w:tcPr>
          <w:p w14:paraId="64DC7090"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 xml:space="preserve">Estimates to reflect current ETS scope in the period 2005 to 2012 to be added to allowances and verified emissions for a consistent comparison between years and trading periods (see further details in </w:t>
            </w:r>
            <w:r w:rsidRPr="00E91572">
              <w:rPr>
                <w:rFonts w:eastAsia="ヒラギノ角ゴ Pro W3" w:cs="Calibri"/>
                <w:iCs/>
                <w:lang w:val="en-GB"/>
              </w:rPr>
              <w:fldChar w:fldCharType="begin"/>
            </w:r>
            <w:r w:rsidRPr="00E91572">
              <w:rPr>
                <w:rFonts w:eastAsia="ヒラギノ角ゴ Pro W3" w:cs="Calibri"/>
                <w:iCs/>
                <w:lang w:val="en-GB"/>
              </w:rPr>
              <w:instrText xml:space="preserve"> REF _Ref7693352 \h  \* MERGEFORMAT </w:instrText>
            </w:r>
            <w:r w:rsidRPr="00E91572">
              <w:rPr>
                <w:rFonts w:eastAsia="ヒラギノ角ゴ Pro W3" w:cs="Calibri"/>
                <w:iCs/>
                <w:lang w:val="en-GB"/>
              </w:rPr>
            </w:r>
            <w:r w:rsidRPr="00E91572">
              <w:rPr>
                <w:rFonts w:eastAsia="ヒラギノ角ゴ Pro W3" w:cs="Calibri"/>
                <w:iCs/>
                <w:lang w:val="en-GB"/>
              </w:rPr>
              <w:fldChar w:fldCharType="separate"/>
            </w:r>
            <w:proofErr w:type="spellStart"/>
            <w:r w:rsidRPr="00E91572">
              <w:t>Annex</w:t>
            </w:r>
            <w:proofErr w:type="spellEnd"/>
            <w:r w:rsidRPr="00E91572">
              <w:t xml:space="preserve"> III – </w:t>
            </w:r>
            <w:proofErr w:type="spellStart"/>
            <w:r w:rsidRPr="00E91572">
              <w:t>Estimates</w:t>
            </w:r>
            <w:proofErr w:type="spellEnd"/>
            <w:r w:rsidRPr="00E91572">
              <w:t xml:space="preserve"> </w:t>
            </w:r>
            <w:proofErr w:type="spellStart"/>
            <w:r w:rsidRPr="00E91572">
              <w:t>to</w:t>
            </w:r>
            <w:proofErr w:type="spellEnd"/>
            <w:r w:rsidRPr="00E91572">
              <w:t xml:space="preserve"> </w:t>
            </w:r>
            <w:proofErr w:type="spellStart"/>
            <w:r w:rsidRPr="00E91572">
              <w:t>reflect</w:t>
            </w:r>
            <w:proofErr w:type="spellEnd"/>
            <w:r w:rsidRPr="00E91572">
              <w:t xml:space="preserve"> </w:t>
            </w:r>
            <w:proofErr w:type="spellStart"/>
            <w:r w:rsidRPr="00E91572">
              <w:t>current</w:t>
            </w:r>
            <w:proofErr w:type="spellEnd"/>
            <w:r w:rsidRPr="00E91572">
              <w:t xml:space="preserve"> ETS </w:t>
            </w:r>
            <w:proofErr w:type="spellStart"/>
            <w:r w:rsidRPr="00E91572">
              <w:t>scope</w:t>
            </w:r>
            <w:proofErr w:type="spellEnd"/>
            <w:r w:rsidRPr="00E91572">
              <w:t xml:space="preserve"> </w:t>
            </w:r>
            <w:proofErr w:type="spellStart"/>
            <w:r w:rsidRPr="00E91572">
              <w:t>for</w:t>
            </w:r>
            <w:proofErr w:type="spellEnd"/>
            <w:r w:rsidRPr="00E91572">
              <w:t xml:space="preserve"> </w:t>
            </w:r>
            <w:proofErr w:type="spellStart"/>
            <w:r w:rsidRPr="00E91572">
              <w:t>stationary</w:t>
            </w:r>
            <w:proofErr w:type="spellEnd"/>
            <w:r w:rsidRPr="00E91572">
              <w:t xml:space="preserve"> </w:t>
            </w:r>
            <w:proofErr w:type="spellStart"/>
            <w:r w:rsidRPr="00E91572">
              <w:t>installations</w:t>
            </w:r>
            <w:proofErr w:type="spellEnd"/>
            <w:r w:rsidRPr="00E91572">
              <w:rPr>
                <w:rFonts w:eastAsia="ヒラギノ角ゴ Pro W3" w:cs="Calibri"/>
                <w:iCs/>
                <w:lang w:val="en-GB"/>
              </w:rPr>
              <w:fldChar w:fldCharType="end"/>
            </w:r>
            <w:r w:rsidRPr="00E91572">
              <w:rPr>
                <w:rFonts w:eastAsia="ヒラギノ角ゴ Pro W3" w:cs="Calibri"/>
                <w:iCs/>
                <w:lang w:val="en-GB"/>
              </w:rPr>
              <w:t>).</w:t>
            </w:r>
          </w:p>
        </w:tc>
      </w:tr>
      <w:tr w:rsidR="007A1B5D" w:rsidRPr="00E91572" w14:paraId="4F1AE799" w14:textId="77777777" w:rsidTr="00671FE7">
        <w:tc>
          <w:tcPr>
            <w:tcW w:w="2835" w:type="dxa"/>
          </w:tcPr>
          <w:p w14:paraId="1610A8C9"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4. Total surrendered units</w:t>
            </w:r>
          </w:p>
        </w:tc>
        <w:tc>
          <w:tcPr>
            <w:tcW w:w="5669" w:type="dxa"/>
          </w:tcPr>
          <w:p w14:paraId="1827EF7A"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Total number of emission trading units (allowances, aviation allowances and Kyoto project credits) surrendered by operators to their authorities for compliance under the EU ETS. Each unit represents one tonne of CO</w:t>
            </w:r>
            <w:r w:rsidRPr="00E91572">
              <w:rPr>
                <w:rFonts w:eastAsia="ヒラギノ角ゴ Pro W3" w:cs="Calibri"/>
                <w:iCs/>
                <w:vertAlign w:val="subscript"/>
                <w:lang w:val="en-GB"/>
              </w:rPr>
              <w:t>2</w:t>
            </w:r>
            <w:r w:rsidRPr="00E91572">
              <w:rPr>
                <w:rFonts w:eastAsia="ヒラギノ角ゴ Pro W3" w:cs="Calibri"/>
                <w:iCs/>
                <w:lang w:val="en-GB"/>
              </w:rPr>
              <w:t xml:space="preserve">-eq. </w:t>
            </w:r>
          </w:p>
        </w:tc>
      </w:tr>
      <w:tr w:rsidR="007A1B5D" w:rsidRPr="00E91572" w14:paraId="191258B4" w14:textId="77777777" w:rsidTr="00671FE7">
        <w:tc>
          <w:tcPr>
            <w:tcW w:w="2835" w:type="dxa"/>
          </w:tcPr>
          <w:p w14:paraId="5633AEF9"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4.1 Surrendered EU allowances (EUAs and EUAAs)</w:t>
            </w:r>
          </w:p>
        </w:tc>
        <w:tc>
          <w:tcPr>
            <w:tcW w:w="5669" w:type="dxa"/>
          </w:tcPr>
          <w:p w14:paraId="17CC70DC"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Allowances surrendered by operators of stationary installations, or allowances and aviation allowances surrendered by aviation operators.</w:t>
            </w:r>
          </w:p>
        </w:tc>
      </w:tr>
      <w:tr w:rsidR="007A1B5D" w:rsidRPr="00E91572" w14:paraId="51476D5E" w14:textId="77777777" w:rsidTr="00671FE7">
        <w:tc>
          <w:tcPr>
            <w:tcW w:w="2835" w:type="dxa"/>
          </w:tcPr>
          <w:p w14:paraId="6FE1AE61"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4.2 Surrendered certified emission reductions (CERs)</w:t>
            </w:r>
          </w:p>
        </w:tc>
        <w:tc>
          <w:tcPr>
            <w:tcW w:w="5669" w:type="dxa"/>
          </w:tcPr>
          <w:p w14:paraId="3FEBB9E5"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CERs (Certified Emission Reductions) originating from Clean Development Mechanism projects under the Kyoto Protocol, i.e. emission reduction projects in non-Annex 1 countries (countries without an emission reduction target under the Kyoto-Protocol. In the third trading period, only the total number of surrendered units is publicly available (no detail on the type of unit surrendered is publicly available).</w:t>
            </w:r>
          </w:p>
        </w:tc>
      </w:tr>
      <w:tr w:rsidR="007A1B5D" w:rsidRPr="00E91572" w14:paraId="01401FDA" w14:textId="77777777" w:rsidTr="00671FE7">
        <w:tc>
          <w:tcPr>
            <w:tcW w:w="2835" w:type="dxa"/>
          </w:tcPr>
          <w:p w14:paraId="3C3B8D8F"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4.3 Surrendered emission reduction units (ERUs)</w:t>
            </w:r>
          </w:p>
        </w:tc>
        <w:tc>
          <w:tcPr>
            <w:tcW w:w="5669" w:type="dxa"/>
          </w:tcPr>
          <w:p w14:paraId="53B27BB1" w14:textId="77777777" w:rsidR="007A1B5D" w:rsidRPr="00E91572" w:rsidRDefault="007A1B5D" w:rsidP="00671FE7">
            <w:pPr>
              <w:spacing w:before="40" w:after="40"/>
              <w:jc w:val="left"/>
              <w:rPr>
                <w:rFonts w:eastAsia="ヒラギノ角ゴ Pro W3" w:cs="Calibri"/>
                <w:iCs/>
                <w:lang w:val="en-GB"/>
              </w:rPr>
            </w:pPr>
            <w:r w:rsidRPr="00E91572">
              <w:rPr>
                <w:rFonts w:eastAsia="ヒラギノ角ゴ Pro W3" w:cs="Calibri"/>
                <w:iCs/>
                <w:lang w:val="en-GB"/>
              </w:rPr>
              <w:t>ERUs (Emission Reduction Units) originating from Joint Implementation projects under the Kyoto Protocol, i.e. emission reduction projects in Annex 1 countries (countries with an emission reduction target under the Kyoto Protocol). In the third trading period, only the total number of surrendered units is publicly available (no detail on the type of unit surrendered is publicly available).</w:t>
            </w:r>
          </w:p>
        </w:tc>
      </w:tr>
    </w:tbl>
    <w:p w14:paraId="65A7DAAA" w14:textId="77777777" w:rsidR="007A1B5D" w:rsidRPr="00E91572" w:rsidRDefault="007A1B5D" w:rsidP="007A1B5D">
      <w:pPr>
        <w:rPr>
          <w:b/>
          <w:sz w:val="18"/>
          <w:lang w:val="fr-FR"/>
        </w:rPr>
      </w:pPr>
    </w:p>
    <w:p w14:paraId="737C861E" w14:textId="77777777" w:rsidR="007A1B5D" w:rsidRPr="00E91572" w:rsidRDefault="007A1B5D" w:rsidP="007A1B5D">
      <w:pPr>
        <w:jc w:val="left"/>
        <w:rPr>
          <w:rFonts w:ascii="Open Sans" w:eastAsia="ヒラギノ角ゴ Pro W3" w:hAnsi="Open Sans" w:cs="Times New Roman"/>
          <w:iCs/>
          <w:sz w:val="20"/>
          <w:lang w:val="en-GB"/>
        </w:rPr>
      </w:pPr>
      <w:r w:rsidRPr="00E91572">
        <w:rPr>
          <w:rFonts w:ascii="Open Sans" w:eastAsia="ヒラギノ角ゴ Pro W3" w:hAnsi="Open Sans" w:cs="Times New Roman"/>
          <w:iCs/>
          <w:sz w:val="20"/>
          <w:lang w:val="en-GB"/>
        </w:rPr>
        <w:br w:type="page"/>
      </w:r>
    </w:p>
    <w:p w14:paraId="3B199744" w14:textId="5FCCE996" w:rsidR="007A1B5D" w:rsidRDefault="007A1B5D" w:rsidP="00AE7893">
      <w:pPr>
        <w:pStyle w:val="Heading1"/>
      </w:pPr>
      <w:bookmarkStart w:id="18" w:name="_Toc97126233"/>
      <w:r>
        <w:lastRenderedPageBreak/>
        <w:t>6 Activity</w:t>
      </w:r>
      <w:bookmarkEnd w:id="18"/>
      <w:r>
        <w:t xml:space="preserve"> </w:t>
      </w:r>
    </w:p>
    <w:p w14:paraId="2BD6721A" w14:textId="63BB1710" w:rsidR="007A1B5D" w:rsidRDefault="007A1B5D" w:rsidP="00700445"/>
    <w:p w14:paraId="6ECDAC23" w14:textId="77777777" w:rsidR="007A1B5D" w:rsidRPr="00E91572" w:rsidRDefault="007A1B5D" w:rsidP="007A1B5D">
      <w:pPr>
        <w:spacing w:before="40" w:after="40"/>
        <w:rPr>
          <w:rFonts w:eastAsia="ヒラギノ角ゴ Pro W3" w:cs="Calibri"/>
          <w:iCs/>
          <w:lang w:val="en-GB"/>
        </w:rPr>
      </w:pPr>
      <w:r w:rsidRPr="00E91572">
        <w:rPr>
          <w:rFonts w:eastAsia="ヒラギノ角ゴ Pro W3" w:cs="Calibri"/>
          <w:iCs/>
          <w:lang w:val="en-GB"/>
        </w:rPr>
        <w:t xml:space="preserve">All entities included in the EUTL are grouped by activity type as shown below. </w:t>
      </w:r>
    </w:p>
    <w:p w14:paraId="1B70BE2C" w14:textId="4F3C4D0A" w:rsidR="007A1B5D" w:rsidRPr="007A1B5D" w:rsidRDefault="007A1B5D" w:rsidP="00700445">
      <w:pPr>
        <w:rPr>
          <w:lang w:val="en-GB"/>
        </w:rPr>
      </w:pPr>
    </w:p>
    <w:p w14:paraId="28217F64" w14:textId="31C4D756" w:rsidR="007A1B5D" w:rsidRDefault="007A1B5D" w:rsidP="00D7271E">
      <w:pPr>
        <w:pStyle w:val="Caption"/>
      </w:pPr>
      <w:r>
        <w:t>Table 6</w:t>
      </w:r>
      <w:r>
        <w:noBreakHyphen/>
      </w:r>
      <w:r>
        <w:fldChar w:fldCharType="begin"/>
      </w:r>
      <w:r>
        <w:instrText xml:space="preserve"> SEQ Figure \* ARABIC \s 1 </w:instrText>
      </w:r>
      <w:r>
        <w:fldChar w:fldCharType="separate"/>
      </w:r>
      <w:r>
        <w:rPr>
          <w:noProof/>
        </w:rPr>
        <w:t>1</w:t>
      </w:r>
      <w:r>
        <w:fldChar w:fldCharType="end"/>
      </w:r>
      <w:r>
        <w:t xml:space="preserve"> EUTL activity types</w:t>
      </w:r>
    </w:p>
    <w:p w14:paraId="5764552B" w14:textId="7D75948B" w:rsidR="007A1B5D" w:rsidRDefault="007A1B5D" w:rsidP="00700445">
      <w:r>
        <w:rPr>
          <w:noProof/>
          <w:lang w:val="en-GB" w:eastAsia="en-GB"/>
        </w:rPr>
        <w:drawing>
          <wp:inline distT="0" distB="0" distL="0" distR="0" wp14:anchorId="4D3E3491" wp14:editId="3575A632">
            <wp:extent cx="4529455" cy="5553710"/>
            <wp:effectExtent l="0" t="0" r="4445"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9455" cy="5553710"/>
                    </a:xfrm>
                    <a:prstGeom prst="rect">
                      <a:avLst/>
                    </a:prstGeom>
                    <a:noFill/>
                  </pic:spPr>
                </pic:pic>
              </a:graphicData>
            </a:graphic>
          </wp:inline>
        </w:drawing>
      </w:r>
    </w:p>
    <w:p w14:paraId="6BAA86F0" w14:textId="41E197B5" w:rsidR="007A1B5D" w:rsidRDefault="007A1B5D" w:rsidP="00700445"/>
    <w:p w14:paraId="28A89BC5" w14:textId="2900CD1C" w:rsidR="007A1B5D" w:rsidRPr="007A1B5D" w:rsidRDefault="00671FE7" w:rsidP="00AE7893">
      <w:pPr>
        <w:pStyle w:val="Heading2"/>
      </w:pPr>
      <w:bookmarkStart w:id="19" w:name="_Toc97126234"/>
      <w:bookmarkStart w:id="20" w:name="_Hlk97124277"/>
      <w:r>
        <w:t>6.1 Translation of activity codes</w:t>
      </w:r>
      <w:bookmarkEnd w:id="19"/>
    </w:p>
    <w:bookmarkEnd w:id="20"/>
    <w:p w14:paraId="4B696B9F" w14:textId="26529991" w:rsidR="007A1B5D" w:rsidRDefault="007A1B5D" w:rsidP="00700445"/>
    <w:p w14:paraId="0B4A0339" w14:textId="77777777" w:rsidR="00671FE7" w:rsidRPr="00E91572" w:rsidRDefault="00671FE7" w:rsidP="00671FE7">
      <w:pPr>
        <w:spacing w:before="40" w:after="40"/>
        <w:rPr>
          <w:rFonts w:eastAsia="ヒラギノ角ゴ Pro W3" w:cs="Calibri"/>
          <w:iCs/>
          <w:lang w:val="en-GB"/>
        </w:rPr>
      </w:pPr>
      <w:r w:rsidRPr="00E91572">
        <w:rPr>
          <w:rFonts w:eastAsia="ヒラギノ角ゴ Pro W3" w:cs="Calibri"/>
          <w:iCs/>
          <w:lang w:val="en-GB"/>
        </w:rPr>
        <w:fldChar w:fldCharType="begin"/>
      </w:r>
      <w:r w:rsidRPr="00E91572">
        <w:rPr>
          <w:rFonts w:eastAsia="ヒラギノ角ゴ Pro W3" w:cs="Calibri"/>
          <w:iCs/>
          <w:lang w:val="en-GB"/>
        </w:rPr>
        <w:instrText xml:space="preserve"> REF _Ref7697046 \h  \* MERGEFORMAT </w:instrText>
      </w:r>
      <w:r w:rsidRPr="00E91572">
        <w:rPr>
          <w:rFonts w:eastAsia="ヒラギノ角ゴ Pro W3" w:cs="Calibri"/>
          <w:iCs/>
          <w:lang w:val="en-GB"/>
        </w:rPr>
      </w:r>
      <w:r w:rsidRPr="00E91572">
        <w:rPr>
          <w:rFonts w:eastAsia="ヒラギノ角ゴ Pro W3" w:cs="Calibri"/>
          <w:iCs/>
          <w:lang w:val="en-GB"/>
        </w:rPr>
        <w:fldChar w:fldCharType="separate"/>
      </w:r>
      <w:r w:rsidRPr="00E91572">
        <w:rPr>
          <w:rStyle w:val="Strong"/>
        </w:rPr>
        <w:t>Table</w:t>
      </w:r>
      <w:r w:rsidRPr="00E91572">
        <w:rPr>
          <w:rFonts w:asciiTheme="majorHAnsi" w:eastAsia="ヒラギノ角ゴ Pro W3" w:hAnsiTheme="majorHAnsi" w:cs="Calibri"/>
          <w:b/>
          <w:szCs w:val="22"/>
        </w:rPr>
        <w:t xml:space="preserve"> </w:t>
      </w:r>
      <w:r>
        <w:rPr>
          <w:rFonts w:asciiTheme="majorHAnsi" w:eastAsia="ヒラギノ角ゴ Pro W3" w:hAnsiTheme="majorHAnsi" w:cs="Calibri"/>
          <w:b/>
          <w:szCs w:val="22"/>
        </w:rPr>
        <w:t>6</w:t>
      </w:r>
      <w:r w:rsidRPr="00E91572">
        <w:rPr>
          <w:rFonts w:asciiTheme="majorHAnsi" w:eastAsia="ヒラギノ角ゴ Pro W3" w:hAnsiTheme="majorHAnsi" w:cs="Calibri"/>
          <w:b/>
          <w:szCs w:val="22"/>
        </w:rPr>
        <w:noBreakHyphen/>
      </w:r>
      <w:r>
        <w:rPr>
          <w:rFonts w:asciiTheme="majorHAnsi" w:eastAsia="ヒラギノ角ゴ Pro W3" w:hAnsiTheme="majorHAnsi" w:cs="Calibri"/>
          <w:b/>
          <w:szCs w:val="22"/>
        </w:rPr>
        <w:t>1</w:t>
      </w:r>
      <w:r w:rsidRPr="00E91572">
        <w:rPr>
          <w:rFonts w:eastAsia="ヒラギノ角ゴ Pro W3" w:cs="Calibri"/>
          <w:iCs/>
          <w:lang w:val="en-GB"/>
        </w:rPr>
        <w:fldChar w:fldCharType="end"/>
      </w:r>
      <w:r w:rsidRPr="00E91572">
        <w:rPr>
          <w:rFonts w:eastAsia="ヒラギノ角ゴ Pro W3" w:cs="Calibri"/>
          <w:iCs/>
          <w:lang w:val="en-GB"/>
        </w:rPr>
        <w:t xml:space="preserve"> shows the new activity type codes (codes 20-47) introduced for the third trading period of the EU ETS (2013-2020). All new entities entering the scheme are automatically assigned a new activity code. However, not all installations that were already part of the scheme before the start of the third trading period have changed to the new activity codes, but kept the old codes. </w:t>
      </w:r>
    </w:p>
    <w:p w14:paraId="316A5F99" w14:textId="2AC7CDD7" w:rsidR="00671FE7" w:rsidRPr="00E91572" w:rsidRDefault="00671FE7" w:rsidP="00671FE7">
      <w:pPr>
        <w:spacing w:before="40" w:after="40"/>
        <w:rPr>
          <w:rFonts w:eastAsia="ヒラギノ角ゴ Pro W3" w:cs="Calibri"/>
          <w:iCs/>
          <w:lang w:val="en-GB"/>
        </w:rPr>
      </w:pPr>
      <w:r w:rsidRPr="00E91572">
        <w:rPr>
          <w:rFonts w:eastAsia="ヒラギノ角ゴ Pro W3" w:cs="Calibri"/>
          <w:iCs/>
          <w:lang w:val="en-GB"/>
        </w:rPr>
        <w:t>ETC/CM applied a methodology to map those old codes (1-9) to new codes (20-43) in order to facilitate analysis of the different activities. The methodology is mainly based on information on NACE codes which have been published by the European Commission as part of the preparation of the carbon leakage list for 2015-2019 (</w:t>
      </w:r>
      <w:r w:rsidRPr="00E91572">
        <w:rPr>
          <w:rFonts w:eastAsia="ヒラギノ角ゴ Pro W3" w:cs="Calibri"/>
          <w:iCs/>
          <w:vertAlign w:val="superscript"/>
          <w:lang w:val="en-GB"/>
        </w:rPr>
        <w:footnoteReference w:id="11"/>
      </w:r>
      <w:r w:rsidRPr="00E91572">
        <w:rPr>
          <w:rFonts w:eastAsia="ヒラギノ角ゴ Pro W3" w:cs="Calibri"/>
          <w:iCs/>
          <w:lang w:val="en-GB"/>
        </w:rPr>
        <w:t xml:space="preserve">). These NACE codes were attributed to installations based on operator information on NACE </w:t>
      </w:r>
      <w:r w:rsidRPr="00E91572">
        <w:rPr>
          <w:rFonts w:eastAsia="ヒラギノ角ゴ Pro W3" w:cs="Calibri"/>
          <w:iCs/>
          <w:lang w:val="en-GB"/>
        </w:rPr>
        <w:lastRenderedPageBreak/>
        <w:t>rev.1.1 and rev. 2 codes in the National Implementation Measures (NIMs), ETS activity code and benchmarks used for allocation. Within the carbon leakage list exercise all codes have been checked for plausibility. Details on the translation of activity codes are available in an ETC/ACM technical paper (</w:t>
      </w:r>
      <w:r w:rsidRPr="00E91572">
        <w:rPr>
          <w:rFonts w:eastAsia="ヒラギノ角ゴ Pro W3" w:cs="Calibri"/>
          <w:iCs/>
          <w:vertAlign w:val="superscript"/>
          <w:lang w:val="en-GB"/>
        </w:rPr>
        <w:footnoteReference w:id="12"/>
      </w:r>
      <w:r w:rsidRPr="00E91572">
        <w:rPr>
          <w:rFonts w:eastAsia="ヒラギノ角ゴ Pro W3" w:cs="Calibri"/>
          <w:iCs/>
          <w:lang w:val="en-GB"/>
        </w:rPr>
        <w:t>). The translation is regularly updated to include country specific information.</w:t>
      </w:r>
    </w:p>
    <w:p w14:paraId="58E24BC5" w14:textId="77777777" w:rsidR="00671FE7" w:rsidRPr="00E91572" w:rsidRDefault="00671FE7" w:rsidP="00671FE7">
      <w:pPr>
        <w:spacing w:before="40" w:after="40"/>
        <w:rPr>
          <w:rFonts w:eastAsia="ヒラギノ角ゴ Pro W3" w:cs="Calibri"/>
          <w:iCs/>
          <w:lang w:val="en-GB"/>
        </w:rPr>
      </w:pPr>
      <w:r w:rsidRPr="00E91572">
        <w:rPr>
          <w:rFonts w:eastAsia="ヒラギノ角ゴ Pro W3" w:cs="Calibri"/>
          <w:iCs/>
          <w:lang w:val="en-GB"/>
        </w:rPr>
        <w:t>This mapping from old to new codes is carried out for all activity codes except code 99 “Other activity opted-in under Art. 24”, if not indicated otherwise by Member States. The reason for keeping this activity separate is due to the fact that the nature of such activities could be very diverse across the 13 countries that opted-in installations falling into this category. For example, Sweden decided to include all installations with a thermal input below 20 MW that are nevertheless connected to a district heating network with a total rated thermal input above 20 MW. In practice, the activity of an installation which is listed under activity type 99 in the EUTL is rarely clear. In addition, some installations included under the EU ETS after 2013 used this activity code, too.</w:t>
      </w:r>
    </w:p>
    <w:p w14:paraId="7C81A093" w14:textId="77777777" w:rsidR="00671FE7" w:rsidRPr="00E91572" w:rsidRDefault="00671FE7" w:rsidP="00671FE7">
      <w:pPr>
        <w:spacing w:before="40" w:after="40"/>
        <w:rPr>
          <w:rFonts w:eastAsia="ヒラギノ角ゴ Pro W3" w:cs="Calibri"/>
          <w:iCs/>
          <w:lang w:val="en-GB"/>
        </w:rPr>
      </w:pPr>
      <w:r w:rsidRPr="00E91572">
        <w:rPr>
          <w:rFonts w:eastAsia="ヒラギノ角ゴ Pro W3" w:cs="Calibri"/>
          <w:iCs/>
          <w:lang w:val="en-GB"/>
        </w:rPr>
        <w:t xml:space="preserve">For three iron and steel plants </w:t>
      </w:r>
      <w:r w:rsidRPr="00E91572">
        <w:rPr>
          <w:rFonts w:ascii="Open Sans" w:eastAsia="ヒラギノ角ゴ Pro W3" w:hAnsi="Open Sans" w:cs="Times New Roman"/>
          <w:iCs/>
          <w:sz w:val="20"/>
        </w:rPr>
        <w:t xml:space="preserve">with major emissions </w:t>
      </w:r>
      <w:r w:rsidRPr="00E91572">
        <w:rPr>
          <w:rFonts w:eastAsia="ヒラギノ角ゴ Pro W3" w:cs="Calibri"/>
          <w:iCs/>
          <w:lang w:val="en-GB"/>
        </w:rPr>
        <w:t xml:space="preserve">the main activity type code has been changed from 20 to 24 after an exchange with </w:t>
      </w:r>
      <w:r w:rsidRPr="00E91572">
        <w:rPr>
          <w:rFonts w:ascii="Open Sans" w:eastAsia="ヒラギノ角ゴ Pro W3" w:hAnsi="Open Sans" w:cs="Times New Roman"/>
          <w:iCs/>
          <w:sz w:val="20"/>
        </w:rPr>
        <w:t>competent authorities of the respective Member States</w:t>
      </w:r>
      <w:r w:rsidRPr="00E91572">
        <w:rPr>
          <w:rFonts w:eastAsia="ヒラギノ角ゴ Pro W3" w:cs="Calibri"/>
          <w:iCs/>
          <w:lang w:val="en-GB"/>
        </w:rPr>
        <w:t xml:space="preserve">. </w:t>
      </w:r>
    </w:p>
    <w:p w14:paraId="13FA29B5" w14:textId="03C1C44E" w:rsidR="00671FE7" w:rsidRPr="00E91572" w:rsidRDefault="00671FE7" w:rsidP="00671FE7">
      <w:pPr>
        <w:spacing w:before="40" w:after="40"/>
        <w:rPr>
          <w:rFonts w:eastAsia="ヒラギノ角ゴ Pro W3" w:cs="Calibri"/>
          <w:iCs/>
          <w:lang w:val="en-GB"/>
        </w:rPr>
      </w:pPr>
      <w:r w:rsidRPr="00E91572">
        <w:rPr>
          <w:rFonts w:eastAsia="ヒラギノ角ゴ Pro W3" w:cs="Calibri"/>
          <w:iCs/>
          <w:lang w:val="en-GB"/>
        </w:rPr>
        <w:t xml:space="preserve">The result of the translation is shown in </w:t>
      </w:r>
      <w:r w:rsidRPr="00E91572">
        <w:rPr>
          <w:rFonts w:eastAsia="ヒラギノ角ゴ Pro W3" w:cs="Calibri"/>
          <w:iCs/>
          <w:lang w:val="en-GB"/>
        </w:rPr>
        <w:fldChar w:fldCharType="begin"/>
      </w:r>
      <w:r w:rsidRPr="00E91572">
        <w:rPr>
          <w:rFonts w:eastAsia="ヒラギノ角ゴ Pro W3" w:cs="Calibri"/>
          <w:iCs/>
          <w:lang w:val="en-GB"/>
        </w:rPr>
        <w:instrText xml:space="preserve"> REF _Ref7697069 \h  \* MERGEFORMAT </w:instrText>
      </w:r>
      <w:r w:rsidRPr="00E91572">
        <w:rPr>
          <w:rFonts w:eastAsia="ヒラギノ角ゴ Pro W3" w:cs="Calibri"/>
          <w:iCs/>
          <w:lang w:val="en-GB"/>
        </w:rPr>
      </w:r>
      <w:r w:rsidRPr="00E91572">
        <w:rPr>
          <w:rFonts w:eastAsia="ヒラギノ角ゴ Pro W3" w:cs="Calibri"/>
          <w:iCs/>
          <w:lang w:val="en-GB"/>
        </w:rPr>
        <w:fldChar w:fldCharType="separate"/>
      </w:r>
      <w:r w:rsidRPr="00E91572">
        <w:rPr>
          <w:rStyle w:val="Strong"/>
        </w:rPr>
        <w:t xml:space="preserve">Table </w:t>
      </w:r>
      <w:r>
        <w:rPr>
          <w:rFonts w:asciiTheme="majorHAnsi" w:eastAsia="ヒラギノ角ゴ Pro W3" w:hAnsiTheme="majorHAnsi" w:cs="Calibri"/>
          <w:b/>
          <w:noProof/>
          <w:szCs w:val="22"/>
        </w:rPr>
        <w:t>6</w:t>
      </w:r>
      <w:r w:rsidRPr="00E91572">
        <w:rPr>
          <w:rFonts w:asciiTheme="majorHAnsi" w:eastAsia="ヒラギノ角ゴ Pro W3" w:hAnsiTheme="majorHAnsi" w:cs="Calibri"/>
          <w:b/>
          <w:noProof/>
          <w:szCs w:val="22"/>
        </w:rPr>
        <w:noBreakHyphen/>
      </w:r>
      <w:r>
        <w:rPr>
          <w:rFonts w:asciiTheme="majorHAnsi" w:eastAsia="ヒラギノ角ゴ Pro W3" w:hAnsiTheme="majorHAnsi" w:cs="Calibri"/>
          <w:b/>
          <w:noProof/>
          <w:szCs w:val="22"/>
        </w:rPr>
        <w:t>2</w:t>
      </w:r>
      <w:r w:rsidRPr="00E91572">
        <w:rPr>
          <w:rFonts w:eastAsia="ヒラギノ角ゴ Pro W3" w:cs="Calibri"/>
          <w:iCs/>
          <w:lang w:val="en-GB"/>
        </w:rPr>
        <w:fldChar w:fldCharType="end"/>
      </w:r>
      <w:r w:rsidRPr="00E91572">
        <w:rPr>
          <w:rFonts w:eastAsia="ヒラギノ角ゴ Pro W3" w:cs="Calibri"/>
          <w:iCs/>
          <w:lang w:val="en-GB"/>
        </w:rPr>
        <w:t xml:space="preserve"> with regard to the number of installations and related verified emissions 20</w:t>
      </w:r>
      <w:r>
        <w:rPr>
          <w:rFonts w:eastAsia="ヒラギノ角ゴ Pro W3" w:cs="Calibri"/>
          <w:iCs/>
          <w:lang w:val="en-GB"/>
        </w:rPr>
        <w:t>2</w:t>
      </w:r>
      <w:r w:rsidR="00010390">
        <w:rPr>
          <w:rFonts w:eastAsia="ヒラギノ角ゴ Pro W3" w:cs="Calibri"/>
          <w:iCs/>
          <w:lang w:val="en-GB"/>
        </w:rPr>
        <w:t>2</w:t>
      </w:r>
      <w:r w:rsidRPr="00E91572">
        <w:rPr>
          <w:rFonts w:eastAsia="ヒラギノ角ゴ Pro W3" w:cs="Calibri"/>
          <w:iCs/>
          <w:lang w:val="en-GB"/>
        </w:rPr>
        <w:t>. The most actual translation table is available as download from the EEA Data Service</w:t>
      </w:r>
      <w:r w:rsidRPr="00E91572">
        <w:rPr>
          <w:rStyle w:val="FootnoteReference"/>
          <w:rFonts w:eastAsia="ヒラギノ角ゴ Pro W3" w:cs="Calibri"/>
          <w:iCs/>
          <w:lang w:val="en-GB"/>
        </w:rPr>
        <w:footnoteReference w:id="13"/>
      </w:r>
      <w:r w:rsidRPr="00E91572">
        <w:rPr>
          <w:rFonts w:eastAsia="ヒラギノ角ゴ Pro W3" w:cs="Calibri"/>
          <w:iCs/>
          <w:lang w:val="en-GB"/>
        </w:rPr>
        <w:t>.</w:t>
      </w:r>
    </w:p>
    <w:p w14:paraId="7F1EB36E" w14:textId="77777777" w:rsidR="00671FE7" w:rsidRPr="00E91572" w:rsidRDefault="00671FE7" w:rsidP="00671FE7">
      <w:pPr>
        <w:jc w:val="left"/>
        <w:rPr>
          <w:rFonts w:ascii="Open Sans" w:eastAsia="ヒラギノ角ゴ Pro W3" w:hAnsi="Open Sans" w:cs="Times New Roman"/>
          <w:iCs/>
          <w:sz w:val="20"/>
          <w:lang w:val="en-GB"/>
        </w:rPr>
      </w:pPr>
      <w:r w:rsidRPr="00E91572">
        <w:rPr>
          <w:rFonts w:ascii="Open Sans" w:eastAsia="ヒラギノ角ゴ Pro W3" w:hAnsi="Open Sans" w:cs="Times New Roman"/>
          <w:iCs/>
          <w:sz w:val="20"/>
          <w:lang w:val="en-GB"/>
        </w:rPr>
        <w:br w:type="page"/>
      </w:r>
    </w:p>
    <w:p w14:paraId="585BAAB9" w14:textId="77777777" w:rsidR="005A0ED4" w:rsidRDefault="00671FE7" w:rsidP="005A0ED4">
      <w:pPr>
        <w:pStyle w:val="Caption"/>
      </w:pPr>
      <w:r>
        <w:lastRenderedPageBreak/>
        <w:t>Table 6</w:t>
      </w:r>
      <w:r>
        <w:noBreakHyphen/>
        <w:t>2 Allocation of new activity codes to installation with old codes</w:t>
      </w:r>
    </w:p>
    <w:p w14:paraId="69227DAF" w14:textId="700A5B40" w:rsidR="007A1B5D" w:rsidRDefault="00371A8D" w:rsidP="005A0ED4">
      <w:pPr>
        <w:pStyle w:val="Caption"/>
      </w:pPr>
      <w:r w:rsidRPr="006F13AE">
        <w:rPr>
          <w:noProof/>
          <w:lang w:eastAsia="en-GB"/>
        </w:rPr>
        <w:drawing>
          <wp:inline distT="0" distB="0" distL="0" distR="0" wp14:anchorId="12E79865" wp14:editId="319CF3DE">
            <wp:extent cx="5972810" cy="6647180"/>
            <wp:effectExtent l="0" t="0" r="889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810" cy="6647180"/>
                    </a:xfrm>
                    <a:prstGeom prst="rect">
                      <a:avLst/>
                    </a:prstGeom>
                    <a:noFill/>
                    <a:ln>
                      <a:noFill/>
                    </a:ln>
                  </pic:spPr>
                </pic:pic>
              </a:graphicData>
            </a:graphic>
          </wp:inline>
        </w:drawing>
      </w:r>
    </w:p>
    <w:p w14:paraId="0ED06E64" w14:textId="6D27BE14" w:rsidR="007A1B5D" w:rsidRDefault="007A1B5D" w:rsidP="00700445"/>
    <w:p w14:paraId="51F7AF58" w14:textId="77777777" w:rsidR="00671FE7" w:rsidRPr="00E91572" w:rsidRDefault="00671FE7" w:rsidP="00671FE7">
      <w:pPr>
        <w:spacing w:before="40" w:after="40"/>
        <w:rPr>
          <w:rFonts w:eastAsia="ヒラギノ角ゴ Pro W3" w:cs="Calibri"/>
          <w:iCs/>
          <w:lang w:val="en-GB"/>
        </w:rPr>
      </w:pPr>
      <w:r w:rsidRPr="00E91572">
        <w:rPr>
          <w:rFonts w:eastAsia="ヒラギノ角ゴ Pro W3" w:cs="Calibri"/>
          <w:iCs/>
          <w:lang w:val="en-GB"/>
        </w:rPr>
        <w:t xml:space="preserve">The sums for all activity codes (as outlined in </w:t>
      </w:r>
      <w:r w:rsidRPr="00E91572">
        <w:rPr>
          <w:rFonts w:eastAsia="ヒラギノ角ゴ Pro W3" w:cs="Calibri"/>
          <w:iCs/>
          <w:lang w:val="en-GB"/>
        </w:rPr>
        <w:fldChar w:fldCharType="begin"/>
      </w:r>
      <w:r w:rsidRPr="00E91572">
        <w:rPr>
          <w:rFonts w:eastAsia="ヒラギノ角ゴ Pro W3" w:cs="Calibri"/>
          <w:iCs/>
          <w:lang w:val="en-GB"/>
        </w:rPr>
        <w:instrText xml:space="preserve"> REF _Ref7697046 \h  \* MERGEFORMAT </w:instrText>
      </w:r>
      <w:r w:rsidRPr="00E91572">
        <w:rPr>
          <w:rFonts w:eastAsia="ヒラギノ角ゴ Pro W3" w:cs="Calibri"/>
          <w:iCs/>
          <w:lang w:val="en-GB"/>
        </w:rPr>
      </w:r>
      <w:r w:rsidRPr="00E91572">
        <w:rPr>
          <w:rFonts w:eastAsia="ヒラギノ角ゴ Pro W3" w:cs="Calibri"/>
          <w:iCs/>
          <w:lang w:val="en-GB"/>
        </w:rPr>
        <w:fldChar w:fldCharType="separate"/>
      </w:r>
      <w:r w:rsidRPr="00E91572">
        <w:rPr>
          <w:rStyle w:val="Strong"/>
        </w:rPr>
        <w:t>Table</w:t>
      </w:r>
      <w:r w:rsidRPr="00E91572">
        <w:rPr>
          <w:rFonts w:asciiTheme="majorHAnsi" w:eastAsia="ヒラギノ角ゴ Pro W3" w:hAnsiTheme="majorHAnsi" w:cs="Calibri"/>
          <w:b/>
          <w:szCs w:val="22"/>
        </w:rPr>
        <w:t xml:space="preserve"> </w:t>
      </w:r>
      <w:r>
        <w:rPr>
          <w:rFonts w:asciiTheme="majorHAnsi" w:eastAsia="ヒラギノ角ゴ Pro W3" w:hAnsiTheme="majorHAnsi" w:cs="Calibri"/>
          <w:b/>
          <w:szCs w:val="22"/>
        </w:rPr>
        <w:t>6</w:t>
      </w:r>
      <w:r w:rsidRPr="00E91572">
        <w:rPr>
          <w:rFonts w:asciiTheme="majorHAnsi" w:eastAsia="ヒラギノ角ゴ Pro W3" w:hAnsiTheme="majorHAnsi" w:cs="Calibri"/>
          <w:b/>
          <w:szCs w:val="22"/>
        </w:rPr>
        <w:noBreakHyphen/>
      </w:r>
      <w:r>
        <w:rPr>
          <w:rFonts w:asciiTheme="majorHAnsi" w:eastAsia="ヒラギノ角ゴ Pro W3" w:hAnsiTheme="majorHAnsi" w:cs="Calibri"/>
          <w:b/>
          <w:szCs w:val="22"/>
        </w:rPr>
        <w:t>1</w:t>
      </w:r>
      <w:r w:rsidRPr="00E91572">
        <w:rPr>
          <w:rFonts w:eastAsia="ヒラギノ角ゴ Pro W3" w:cs="Calibri"/>
          <w:iCs/>
          <w:lang w:val="en-GB"/>
        </w:rPr>
        <w:fldChar w:fldCharType="end"/>
      </w:r>
      <w:r w:rsidRPr="00E91572">
        <w:rPr>
          <w:rFonts w:eastAsia="ヒラギノ角ゴ Pro W3" w:cs="Calibri"/>
          <w:iCs/>
          <w:lang w:val="en-GB"/>
        </w:rPr>
        <w:t>), as well as sums for all industrial activities or sums for all stationary installations can also be shown in the EEA EU ETS data viewer.</w:t>
      </w:r>
    </w:p>
    <w:p w14:paraId="28B3F79C" w14:textId="1B2ED658" w:rsidR="007A1B5D" w:rsidRPr="00671FE7" w:rsidRDefault="007A1B5D" w:rsidP="00700445">
      <w:pPr>
        <w:rPr>
          <w:lang w:val="en-GB"/>
        </w:rPr>
      </w:pPr>
    </w:p>
    <w:p w14:paraId="1CE918AF" w14:textId="61945F6F" w:rsidR="00671FE7" w:rsidRDefault="00671FE7">
      <w:pPr>
        <w:jc w:val="left"/>
        <w:rPr>
          <w:lang w:val="en-GB"/>
        </w:rPr>
      </w:pPr>
      <w:r>
        <w:rPr>
          <w:lang w:val="en-GB"/>
        </w:rPr>
        <w:br w:type="page"/>
      </w:r>
    </w:p>
    <w:p w14:paraId="096E7500" w14:textId="41C54433" w:rsidR="00671FE7" w:rsidRPr="007A1B5D" w:rsidRDefault="00671FE7" w:rsidP="00AE7893">
      <w:pPr>
        <w:pStyle w:val="Heading2"/>
      </w:pPr>
      <w:bookmarkStart w:id="21" w:name="_Toc97126235"/>
      <w:bookmarkStart w:id="22" w:name="_Hlk97124463"/>
      <w:r>
        <w:lastRenderedPageBreak/>
        <w:t>6.2 Information on stationary installations covered</w:t>
      </w:r>
      <w:bookmarkEnd w:id="21"/>
    </w:p>
    <w:bookmarkEnd w:id="22"/>
    <w:p w14:paraId="74CB8AF9" w14:textId="77777777" w:rsidR="00671FE7" w:rsidRPr="00671FE7" w:rsidRDefault="00671FE7" w:rsidP="00700445">
      <w:pPr>
        <w:rPr>
          <w:lang w:val="en-GB"/>
        </w:rPr>
      </w:pPr>
    </w:p>
    <w:p w14:paraId="2D1D9A61" w14:textId="1C6E52E5" w:rsidR="00671FE7" w:rsidRPr="00E91572" w:rsidRDefault="00671FE7" w:rsidP="00671FE7">
      <w:pPr>
        <w:spacing w:before="40" w:after="40"/>
        <w:rPr>
          <w:rFonts w:eastAsia="ヒラギノ角ゴ Pro W3" w:cs="Times New Roman"/>
          <w:color w:val="000000"/>
          <w:szCs w:val="20"/>
          <w:lang w:val="en-GB" w:eastAsia="en-GB"/>
        </w:rPr>
      </w:pPr>
      <w:r w:rsidRPr="00E91572">
        <w:rPr>
          <w:rFonts w:eastAsia="ヒラギノ角ゴ Pro W3" w:cs="Times New Roman"/>
          <w:color w:val="000000"/>
          <w:szCs w:val="20"/>
          <w:lang w:val="en-GB" w:eastAsia="en-GB"/>
        </w:rPr>
        <w:t xml:space="preserve">The EU ETS covered </w:t>
      </w:r>
      <w:r w:rsidR="00172C38">
        <w:rPr>
          <w:rFonts w:eastAsia="ヒラギノ角ゴ Pro W3" w:cs="Times New Roman"/>
          <w:color w:val="000000"/>
          <w:szCs w:val="20"/>
          <w:lang w:val="en-GB" w:eastAsia="en-GB"/>
        </w:rPr>
        <w:t>8 814</w:t>
      </w:r>
      <w:r w:rsidRPr="00E91572">
        <w:rPr>
          <w:rFonts w:eastAsia="ヒラギノ角ゴ Pro W3" w:cs="Times New Roman"/>
          <w:color w:val="000000"/>
          <w:szCs w:val="20"/>
          <w:lang w:val="en-GB" w:eastAsia="en-GB"/>
        </w:rPr>
        <w:t xml:space="preserve"> stationary installations in most industrial sectors in 20</w:t>
      </w:r>
      <w:r>
        <w:rPr>
          <w:rFonts w:eastAsia="ヒラギノ角ゴ Pro W3" w:cs="Times New Roman"/>
          <w:color w:val="000000"/>
          <w:szCs w:val="20"/>
          <w:lang w:val="en-GB" w:eastAsia="en-GB"/>
        </w:rPr>
        <w:t>2</w:t>
      </w:r>
      <w:r w:rsidR="00172C38">
        <w:rPr>
          <w:rFonts w:eastAsia="ヒラギノ角ゴ Pro W3" w:cs="Times New Roman"/>
          <w:color w:val="000000"/>
          <w:szCs w:val="20"/>
          <w:lang w:val="en-GB" w:eastAsia="en-GB"/>
        </w:rPr>
        <w:t>2</w:t>
      </w:r>
      <w:r w:rsidRPr="00E91572">
        <w:rPr>
          <w:rFonts w:eastAsia="ヒラギノ角ゴ Pro W3" w:cs="Times New Roman"/>
          <w:color w:val="000000"/>
          <w:szCs w:val="20"/>
          <w:lang w:val="en-GB" w:eastAsia="en-GB"/>
        </w:rPr>
        <w:t> (</w:t>
      </w:r>
      <w:r w:rsidRPr="00E91572">
        <w:rPr>
          <w:rFonts w:eastAsia="ヒラギノ角ゴ Pro W3" w:cs="Times New Roman"/>
          <w:color w:val="000000"/>
          <w:szCs w:val="20"/>
          <w:vertAlign w:val="superscript"/>
          <w:lang w:val="en-GB" w:eastAsia="en-GB"/>
        </w:rPr>
        <w:footnoteReference w:id="14"/>
      </w:r>
      <w:r w:rsidRPr="00E91572">
        <w:rPr>
          <w:rFonts w:eastAsia="ヒラギノ角ゴ Pro W3" w:cs="Times New Roman"/>
          <w:color w:val="000000"/>
          <w:szCs w:val="20"/>
          <w:lang w:val="en-GB" w:eastAsia="en-GB"/>
        </w:rPr>
        <w:t>).</w:t>
      </w:r>
    </w:p>
    <w:p w14:paraId="63B83442" w14:textId="5904FB3A" w:rsidR="00671FE7" w:rsidRPr="00E91572" w:rsidRDefault="00671FE7" w:rsidP="00671FE7">
      <w:pPr>
        <w:spacing w:after="160" w:line="259" w:lineRule="auto"/>
        <w:jc w:val="left"/>
        <w:rPr>
          <w:rFonts w:eastAsia="ヒラギノ角ゴ Pro W3" w:cs="Times New Roman"/>
          <w:color w:val="000000"/>
          <w:szCs w:val="20"/>
          <w:lang w:val="en-GB" w:eastAsia="en-GB"/>
        </w:rPr>
      </w:pPr>
      <w:r w:rsidRPr="00E91572">
        <w:rPr>
          <w:rFonts w:eastAsia="ヒラギノ角ゴ Pro W3" w:cs="Times New Roman"/>
          <w:color w:val="000000"/>
          <w:szCs w:val="20"/>
          <w:lang w:val="en-GB" w:eastAsia="en-GB"/>
        </w:rPr>
        <w:t>The scope of the EU ETS includes all combustion installations exceeding 20 MW and all installations where activities listed in Annex I of the ETS Directive are carried out (EU, 2003). The total emissions of all stationary installations covered by the EU ETS in 20</w:t>
      </w:r>
      <w:r w:rsidR="002B2D62">
        <w:rPr>
          <w:rFonts w:eastAsia="ヒラギノ角ゴ Pro W3" w:cs="Times New Roman"/>
          <w:color w:val="000000"/>
          <w:szCs w:val="20"/>
          <w:lang w:val="en-GB" w:eastAsia="en-GB"/>
        </w:rPr>
        <w:t>22</w:t>
      </w:r>
      <w:r w:rsidRPr="00E91572">
        <w:rPr>
          <w:rFonts w:eastAsia="ヒラギノ角ゴ Pro W3" w:cs="Times New Roman"/>
          <w:color w:val="000000"/>
          <w:szCs w:val="20"/>
          <w:lang w:val="en-GB" w:eastAsia="en-GB"/>
        </w:rPr>
        <w:t xml:space="preserve"> were equal to 1 </w:t>
      </w:r>
      <w:r w:rsidR="00371A8D">
        <w:rPr>
          <w:rFonts w:eastAsia="ヒラギノ角ゴ Pro W3" w:cs="Times New Roman"/>
          <w:color w:val="000000"/>
          <w:szCs w:val="20"/>
          <w:lang w:val="en-GB" w:eastAsia="en-GB"/>
        </w:rPr>
        <w:t>311</w:t>
      </w:r>
      <w:r w:rsidRPr="00E91572">
        <w:rPr>
          <w:rFonts w:eastAsia="ヒラギノ角ゴ Pro W3" w:cs="Times New Roman"/>
          <w:color w:val="000000"/>
          <w:szCs w:val="20"/>
          <w:lang w:val="en-GB" w:eastAsia="en-GB"/>
        </w:rPr>
        <w:t> Mt CO</w:t>
      </w:r>
      <w:r w:rsidRPr="00E91572">
        <w:rPr>
          <w:rFonts w:eastAsia="ヒラギノ角ゴ Pro W3" w:cs="Times New Roman"/>
          <w:color w:val="000000"/>
          <w:szCs w:val="20"/>
          <w:vertAlign w:val="subscript"/>
          <w:lang w:val="en-GB" w:eastAsia="en-GB"/>
        </w:rPr>
        <w:t>2</w:t>
      </w:r>
      <w:r w:rsidRPr="00E91572">
        <w:rPr>
          <w:rFonts w:eastAsia="ヒラギノ角ゴ Pro W3" w:cs="Times New Roman"/>
          <w:color w:val="000000"/>
          <w:szCs w:val="20"/>
          <w:lang w:val="en-GB" w:eastAsia="en-GB"/>
        </w:rPr>
        <w:t xml:space="preserve">-eq. </w:t>
      </w:r>
    </w:p>
    <w:p w14:paraId="2CB9AA95" w14:textId="77777777" w:rsidR="00671FE7" w:rsidRPr="00E91572" w:rsidRDefault="00671FE7" w:rsidP="00671FE7">
      <w:pPr>
        <w:spacing w:after="160" w:line="259" w:lineRule="auto"/>
        <w:jc w:val="left"/>
        <w:rPr>
          <w:rFonts w:eastAsia="ヒラギノ角ゴ Pro W3" w:cs="Times New Roman"/>
          <w:color w:val="000000"/>
          <w:szCs w:val="20"/>
          <w:lang w:val="en-GB" w:eastAsia="en-GB"/>
        </w:rPr>
      </w:pPr>
      <w:r w:rsidRPr="00E91572">
        <w:rPr>
          <w:rFonts w:eastAsia="ヒラギノ角ゴ Pro W3" w:cs="Times New Roman"/>
          <w:color w:val="000000"/>
          <w:szCs w:val="20"/>
          <w:lang w:val="en-GB" w:eastAsia="en-GB"/>
        </w:rPr>
        <w:t xml:space="preserve">The stationary installations covered by the EU ETS can be grouped into eight main categories, based on their main activities responsible for GHG emissions: </w:t>
      </w:r>
    </w:p>
    <w:p w14:paraId="69D1F177" w14:textId="77777777" w:rsidR="00671FE7" w:rsidRPr="00E91572" w:rsidRDefault="00671FE7" w:rsidP="00671FE7">
      <w:pPr>
        <w:numPr>
          <w:ilvl w:val="0"/>
          <w:numId w:val="5"/>
        </w:numPr>
        <w:spacing w:before="40" w:after="200"/>
        <w:jc w:val="left"/>
        <w:rPr>
          <w:rFonts w:eastAsia="ヒラギノ角ゴ Pro W3" w:cs="Times New Roman"/>
          <w:color w:val="000000"/>
          <w:szCs w:val="20"/>
          <w:lang w:val="en-GB" w:eastAsia="en-GB"/>
        </w:rPr>
      </w:pPr>
      <w:r w:rsidRPr="00E91572">
        <w:rPr>
          <w:rFonts w:eastAsia="ヒラギノ角ゴ Pro W3" w:cs="Times New Roman"/>
          <w:color w:val="000000"/>
          <w:szCs w:val="20"/>
          <w:lang w:val="en-GB" w:eastAsia="en-GB"/>
        </w:rPr>
        <w:t>fuel combustion (mainly electricity generation plus various manufacturing industries);</w:t>
      </w:r>
    </w:p>
    <w:p w14:paraId="36294C2E" w14:textId="77777777" w:rsidR="00671FE7" w:rsidRPr="00E91572" w:rsidRDefault="00671FE7" w:rsidP="00671FE7">
      <w:pPr>
        <w:numPr>
          <w:ilvl w:val="0"/>
          <w:numId w:val="5"/>
        </w:numPr>
        <w:spacing w:before="40" w:after="200"/>
        <w:jc w:val="left"/>
        <w:rPr>
          <w:rFonts w:eastAsia="ヒラギノ角ゴ Pro W3" w:cs="Times New Roman"/>
          <w:color w:val="000000"/>
          <w:szCs w:val="20"/>
          <w:lang w:val="en-GB" w:eastAsia="en-GB"/>
        </w:rPr>
      </w:pPr>
      <w:r w:rsidRPr="00E91572">
        <w:rPr>
          <w:rFonts w:eastAsia="ヒラギノ角ゴ Pro W3" w:cs="Times New Roman"/>
          <w:color w:val="000000"/>
          <w:szCs w:val="20"/>
          <w:lang w:val="en-GB" w:eastAsia="en-GB"/>
        </w:rPr>
        <w:t>refineries;</w:t>
      </w:r>
    </w:p>
    <w:p w14:paraId="695C5467" w14:textId="77777777" w:rsidR="00671FE7" w:rsidRPr="00E91572" w:rsidRDefault="00671FE7" w:rsidP="00671FE7">
      <w:pPr>
        <w:numPr>
          <w:ilvl w:val="0"/>
          <w:numId w:val="5"/>
        </w:numPr>
        <w:spacing w:before="40" w:after="200"/>
        <w:jc w:val="left"/>
        <w:rPr>
          <w:rFonts w:eastAsia="ヒラギノ角ゴ Pro W3" w:cs="Times New Roman"/>
          <w:color w:val="000000"/>
          <w:szCs w:val="20"/>
          <w:lang w:val="en-GB" w:eastAsia="en-GB"/>
        </w:rPr>
      </w:pPr>
      <w:r w:rsidRPr="00E91572">
        <w:rPr>
          <w:rFonts w:eastAsia="ヒラギノ角ゴ Pro W3" w:cs="Times New Roman"/>
          <w:color w:val="000000"/>
          <w:szCs w:val="20"/>
          <w:lang w:val="en-GB" w:eastAsia="en-GB"/>
        </w:rPr>
        <w:t>iron and steel, coke, and metal ore production;</w:t>
      </w:r>
    </w:p>
    <w:p w14:paraId="161EEF81" w14:textId="77777777" w:rsidR="00671FE7" w:rsidRPr="00E91572" w:rsidRDefault="00671FE7" w:rsidP="00671FE7">
      <w:pPr>
        <w:numPr>
          <w:ilvl w:val="0"/>
          <w:numId w:val="5"/>
        </w:numPr>
        <w:spacing w:before="40" w:after="200"/>
        <w:jc w:val="left"/>
        <w:rPr>
          <w:rFonts w:eastAsia="ヒラギノ角ゴ Pro W3" w:cs="Times New Roman"/>
          <w:color w:val="000000"/>
          <w:szCs w:val="20"/>
          <w:lang w:val="en-GB" w:eastAsia="en-GB"/>
        </w:rPr>
      </w:pPr>
      <w:r w:rsidRPr="00E91572">
        <w:rPr>
          <w:rFonts w:eastAsia="ヒラギノ角ゴ Pro W3" w:cs="Times New Roman"/>
          <w:color w:val="000000"/>
          <w:szCs w:val="20"/>
          <w:lang w:val="en-GB" w:eastAsia="en-GB"/>
        </w:rPr>
        <w:t>cement, clinker and lime production;</w:t>
      </w:r>
    </w:p>
    <w:p w14:paraId="3BD6D38C" w14:textId="77777777" w:rsidR="00671FE7" w:rsidRPr="00E91572" w:rsidRDefault="00671FE7" w:rsidP="00671FE7">
      <w:pPr>
        <w:numPr>
          <w:ilvl w:val="0"/>
          <w:numId w:val="5"/>
        </w:numPr>
        <w:spacing w:before="40" w:after="200"/>
        <w:jc w:val="left"/>
        <w:rPr>
          <w:rFonts w:eastAsia="ヒラギノ角ゴ Pro W3" w:cs="Times New Roman"/>
          <w:color w:val="000000"/>
          <w:szCs w:val="20"/>
          <w:lang w:val="en-GB" w:eastAsia="en-GB"/>
        </w:rPr>
      </w:pPr>
      <w:r w:rsidRPr="00E91572">
        <w:rPr>
          <w:rFonts w:eastAsia="ヒラギノ角ゴ Pro W3" w:cs="Times New Roman"/>
          <w:color w:val="000000"/>
          <w:szCs w:val="20"/>
          <w:lang w:val="en-GB" w:eastAsia="en-GB"/>
        </w:rPr>
        <w:t>other non-metallic minerals (glass, ceramics, mineral wool and gypsum);</w:t>
      </w:r>
    </w:p>
    <w:p w14:paraId="3B7E77BA" w14:textId="77777777" w:rsidR="00671FE7" w:rsidRPr="00E91572" w:rsidRDefault="00671FE7" w:rsidP="00671FE7">
      <w:pPr>
        <w:numPr>
          <w:ilvl w:val="0"/>
          <w:numId w:val="5"/>
        </w:numPr>
        <w:spacing w:before="40" w:after="200"/>
        <w:jc w:val="left"/>
        <w:rPr>
          <w:rFonts w:eastAsia="ヒラギノ角ゴ Pro W3" w:cs="Times New Roman"/>
          <w:color w:val="000000"/>
          <w:szCs w:val="20"/>
          <w:lang w:val="en-GB" w:eastAsia="en-GB"/>
        </w:rPr>
      </w:pPr>
      <w:bookmarkStart w:id="23" w:name="_Ref7693538"/>
      <w:r w:rsidRPr="00E91572">
        <w:rPr>
          <w:rFonts w:eastAsia="ヒラギノ角ゴ Pro W3" w:cs="Times New Roman"/>
          <w:color w:val="000000"/>
          <w:szCs w:val="20"/>
          <w:lang w:val="en-GB" w:eastAsia="en-GB"/>
        </w:rPr>
        <w:t>production of pulp and paper;</w:t>
      </w:r>
      <w:bookmarkEnd w:id="23"/>
    </w:p>
    <w:p w14:paraId="7DC3FA8D" w14:textId="77777777" w:rsidR="00671FE7" w:rsidRPr="00E91572" w:rsidRDefault="00671FE7" w:rsidP="00671FE7">
      <w:pPr>
        <w:numPr>
          <w:ilvl w:val="0"/>
          <w:numId w:val="5"/>
        </w:numPr>
        <w:spacing w:before="40" w:after="200"/>
        <w:jc w:val="left"/>
        <w:rPr>
          <w:rFonts w:eastAsia="ヒラギノ角ゴ Pro W3" w:cs="Times New Roman"/>
          <w:color w:val="000000"/>
          <w:szCs w:val="20"/>
          <w:lang w:val="en-GB" w:eastAsia="en-GB"/>
        </w:rPr>
      </w:pPr>
      <w:r w:rsidRPr="00E91572">
        <w:rPr>
          <w:rFonts w:eastAsia="ヒラギノ角ゴ Pro W3" w:cs="Times New Roman"/>
          <w:color w:val="000000"/>
          <w:szCs w:val="20"/>
          <w:lang w:val="en-GB" w:eastAsia="en-GB"/>
        </w:rPr>
        <w:t>production of chemicals;</w:t>
      </w:r>
    </w:p>
    <w:p w14:paraId="626FE736" w14:textId="77777777" w:rsidR="00671FE7" w:rsidRPr="00E91572" w:rsidRDefault="00671FE7" w:rsidP="00671FE7">
      <w:pPr>
        <w:numPr>
          <w:ilvl w:val="0"/>
          <w:numId w:val="5"/>
        </w:numPr>
        <w:spacing w:before="40" w:after="200"/>
        <w:jc w:val="left"/>
        <w:rPr>
          <w:rFonts w:eastAsia="ヒラギノ角ゴ Pro W3" w:cs="Times New Roman"/>
          <w:color w:val="000000"/>
          <w:szCs w:val="20"/>
          <w:lang w:val="en-GB" w:eastAsia="en-GB"/>
        </w:rPr>
      </w:pPr>
      <w:r w:rsidRPr="00E91572">
        <w:rPr>
          <w:rFonts w:eastAsia="ヒラギノ角ゴ Pro W3" w:cs="Times New Roman"/>
          <w:color w:val="000000"/>
          <w:szCs w:val="20"/>
          <w:lang w:val="en-GB" w:eastAsia="en-GB"/>
        </w:rPr>
        <w:t xml:space="preserve">other (opt-ins and capture of GHGs). </w:t>
      </w:r>
    </w:p>
    <w:p w14:paraId="7A05E359" w14:textId="77777777" w:rsidR="00671FE7" w:rsidRPr="00E91572" w:rsidRDefault="00671FE7" w:rsidP="00671FE7">
      <w:pPr>
        <w:spacing w:after="160" w:line="259" w:lineRule="auto"/>
        <w:jc w:val="left"/>
        <w:rPr>
          <w:rFonts w:eastAsia="ヒラギノ角ゴ Pro W3" w:cs="Times New Roman"/>
          <w:color w:val="000000"/>
          <w:szCs w:val="20"/>
          <w:lang w:val="en-GB" w:eastAsia="en-GB"/>
        </w:rPr>
      </w:pPr>
      <w:r w:rsidRPr="00E91572">
        <w:rPr>
          <w:rFonts w:eastAsia="ヒラギノ角ゴ Pro W3" w:cs="Times New Roman"/>
          <w:color w:val="000000"/>
          <w:szCs w:val="20"/>
          <w:lang w:val="en-GB" w:eastAsia="en-GB"/>
        </w:rPr>
        <w:t>The majority of the stationary installations in the EU ETS are fuel combustion plants (6</w:t>
      </w:r>
      <w:r>
        <w:rPr>
          <w:rFonts w:eastAsia="ヒラギノ角ゴ Pro W3" w:cs="Times New Roman"/>
          <w:color w:val="000000"/>
          <w:szCs w:val="20"/>
          <w:lang w:val="en-GB" w:eastAsia="en-GB"/>
        </w:rPr>
        <w:t>3</w:t>
      </w:r>
      <w:r w:rsidRPr="00E91572">
        <w:rPr>
          <w:rFonts w:eastAsia="ヒラギノ角ゴ Pro W3" w:cs="Times New Roman"/>
          <w:color w:val="000000"/>
          <w:szCs w:val="20"/>
          <w:lang w:val="en-GB" w:eastAsia="en-GB"/>
        </w:rPr>
        <w:t>%), and together they account for</w:t>
      </w:r>
      <w:r>
        <w:rPr>
          <w:rFonts w:eastAsia="ヒラギノ角ゴ Pro W3" w:cs="Times New Roman"/>
          <w:color w:val="000000"/>
          <w:szCs w:val="20"/>
          <w:lang w:val="en-GB" w:eastAsia="en-GB"/>
        </w:rPr>
        <w:t xml:space="preserve"> roughly the same</w:t>
      </w:r>
      <w:r w:rsidRPr="00E91572">
        <w:rPr>
          <w:rFonts w:eastAsia="ヒラギノ角ゴ Pro W3" w:cs="Times New Roman"/>
          <w:color w:val="000000"/>
          <w:szCs w:val="20"/>
          <w:lang w:val="en-GB" w:eastAsia="en-GB"/>
        </w:rPr>
        <w:t xml:space="preserve"> proportion of total verified emissions from stationary installations (6</w:t>
      </w:r>
      <w:r>
        <w:rPr>
          <w:rFonts w:eastAsia="ヒラギノ角ゴ Pro W3" w:cs="Times New Roman"/>
          <w:color w:val="000000"/>
          <w:szCs w:val="20"/>
          <w:lang w:val="en-GB" w:eastAsia="en-GB"/>
        </w:rPr>
        <w:t>1</w:t>
      </w:r>
      <w:r w:rsidRPr="00E91572">
        <w:rPr>
          <w:rFonts w:eastAsia="ヒラギノ角ゴ Pro W3" w:cs="Times New Roman"/>
          <w:color w:val="000000"/>
          <w:szCs w:val="20"/>
          <w:lang w:val="en-GB" w:eastAsia="en-GB"/>
        </w:rPr>
        <w:t> %). In terms of emissions, the cement, clinker and lime production sector is the second largest sector (</w:t>
      </w:r>
      <w:r>
        <w:rPr>
          <w:rFonts w:eastAsia="ヒラギノ角ゴ Pro W3" w:cs="Times New Roman"/>
          <w:color w:val="000000"/>
          <w:szCs w:val="20"/>
          <w:lang w:val="en-GB" w:eastAsia="en-GB"/>
        </w:rPr>
        <w:t>10</w:t>
      </w:r>
      <w:r w:rsidRPr="00E91572">
        <w:rPr>
          <w:rFonts w:eastAsia="ヒラギノ角ゴ Pro W3" w:cs="Times New Roman"/>
          <w:color w:val="000000"/>
          <w:szCs w:val="20"/>
          <w:lang w:val="en-GB" w:eastAsia="en-GB"/>
        </w:rPr>
        <w:t xml:space="preserve">% of emissions), even though it ranks </w:t>
      </w:r>
      <w:r>
        <w:rPr>
          <w:rFonts w:eastAsia="ヒラギノ角ゴ Pro W3" w:cs="Times New Roman"/>
          <w:color w:val="000000"/>
          <w:szCs w:val="20"/>
          <w:lang w:val="en-GB" w:eastAsia="en-GB"/>
        </w:rPr>
        <w:t xml:space="preserve">fourth </w:t>
      </w:r>
      <w:r w:rsidRPr="00E91572">
        <w:rPr>
          <w:rFonts w:eastAsia="ヒラギノ角ゴ Pro W3" w:cs="Times New Roman"/>
          <w:color w:val="000000"/>
          <w:szCs w:val="20"/>
          <w:lang w:val="en-GB" w:eastAsia="en-GB"/>
        </w:rPr>
        <w:t xml:space="preserve">in terms of the number of installations. </w:t>
      </w:r>
      <w:r>
        <w:rPr>
          <w:rFonts w:eastAsia="ヒラギノ角ゴ Pro W3" w:cs="Times New Roman"/>
          <w:color w:val="000000"/>
          <w:szCs w:val="20"/>
          <w:lang w:val="en-GB" w:eastAsia="en-GB"/>
        </w:rPr>
        <w:t xml:space="preserve"> Both t</w:t>
      </w:r>
      <w:r w:rsidRPr="00E91572">
        <w:rPr>
          <w:rFonts w:eastAsia="ヒラギノ角ゴ Pro W3" w:cs="Times New Roman"/>
          <w:color w:val="000000"/>
          <w:szCs w:val="20"/>
          <w:lang w:val="en-GB" w:eastAsia="en-GB"/>
        </w:rPr>
        <w:t>he iron, steel and coke sector</w:t>
      </w:r>
      <w:r>
        <w:rPr>
          <w:rFonts w:eastAsia="ヒラギノ角ゴ Pro W3" w:cs="Times New Roman"/>
          <w:color w:val="000000"/>
          <w:szCs w:val="20"/>
          <w:lang w:val="en-GB" w:eastAsia="en-GB"/>
        </w:rPr>
        <w:t xml:space="preserve"> </w:t>
      </w:r>
      <w:r w:rsidRPr="00E91572">
        <w:rPr>
          <w:rFonts w:eastAsia="ヒラギノ角ゴ Pro W3" w:cs="Times New Roman"/>
          <w:color w:val="000000"/>
          <w:szCs w:val="20"/>
          <w:lang w:val="en-GB" w:eastAsia="en-GB"/>
        </w:rPr>
        <w:t>and the refinery sector</w:t>
      </w:r>
      <w:r>
        <w:rPr>
          <w:rFonts w:eastAsia="ヒラギノ角ゴ Pro W3" w:cs="Times New Roman"/>
          <w:color w:val="000000"/>
          <w:szCs w:val="20"/>
          <w:lang w:val="en-GB" w:eastAsia="en-GB"/>
        </w:rPr>
        <w:t xml:space="preserve"> account each for 9% respectively 8% </w:t>
      </w:r>
      <w:r w:rsidRPr="00E91572">
        <w:rPr>
          <w:rFonts w:eastAsia="ヒラギノ角ゴ Pro W3" w:cs="Times New Roman"/>
          <w:color w:val="000000"/>
          <w:szCs w:val="20"/>
          <w:lang w:val="en-GB" w:eastAsia="en-GB"/>
        </w:rPr>
        <w:t xml:space="preserve">emissions from stationary installations, followed by the chemicals sector, responsible for </w:t>
      </w:r>
      <w:r>
        <w:rPr>
          <w:rFonts w:eastAsia="ヒラギノ角ゴ Pro W3" w:cs="Times New Roman"/>
          <w:color w:val="000000"/>
          <w:szCs w:val="20"/>
          <w:lang w:val="en-GB" w:eastAsia="en-GB"/>
        </w:rPr>
        <w:t>6</w:t>
      </w:r>
      <w:r w:rsidRPr="00E91572">
        <w:rPr>
          <w:rFonts w:eastAsia="ヒラギノ角ゴ Pro W3" w:cs="Times New Roman"/>
          <w:color w:val="000000"/>
          <w:szCs w:val="20"/>
          <w:lang w:val="en-GB" w:eastAsia="en-GB"/>
        </w:rPr>
        <w:t> % of emissions. The remai</w:t>
      </w:r>
      <w:r>
        <w:rPr>
          <w:rFonts w:eastAsia="ヒラギノ角ゴ Pro W3" w:cs="Times New Roman"/>
          <w:color w:val="000000"/>
          <w:szCs w:val="20"/>
          <w:lang w:val="en-GB" w:eastAsia="en-GB"/>
        </w:rPr>
        <w:t>ning installations account for 25</w:t>
      </w:r>
      <w:r w:rsidRPr="00E91572">
        <w:rPr>
          <w:rFonts w:eastAsia="ヒラギノ角ゴ Pro W3" w:cs="Times New Roman"/>
          <w:color w:val="000000"/>
          <w:szCs w:val="20"/>
          <w:lang w:val="en-GB" w:eastAsia="en-GB"/>
        </w:rPr>
        <w:t xml:space="preserve"> % of the stationary installations covered by the EU ETS, but are only responsible for </w:t>
      </w:r>
      <w:r>
        <w:rPr>
          <w:rFonts w:eastAsia="ヒラギノ角ゴ Pro W3" w:cs="Times New Roman"/>
          <w:color w:val="000000"/>
          <w:szCs w:val="20"/>
          <w:lang w:val="en-GB" w:eastAsia="en-GB"/>
        </w:rPr>
        <w:t>6</w:t>
      </w:r>
      <w:r w:rsidRPr="00E91572">
        <w:rPr>
          <w:rFonts w:eastAsia="ヒラギノ角ゴ Pro W3" w:cs="Times New Roman"/>
          <w:color w:val="000000"/>
          <w:szCs w:val="20"/>
          <w:lang w:val="en-GB" w:eastAsia="en-GB"/>
        </w:rPr>
        <w:t> % of the total verified emissions of stationary installations (</w:t>
      </w:r>
      <w:r w:rsidRPr="00E91572">
        <w:rPr>
          <w:rFonts w:eastAsia="ヒラギノ角ゴ Pro W3" w:cs="Times New Roman"/>
          <w:color w:val="000000"/>
          <w:szCs w:val="20"/>
          <w:lang w:val="en-GB" w:eastAsia="en-GB"/>
        </w:rPr>
        <w:fldChar w:fldCharType="begin"/>
      </w:r>
      <w:r w:rsidRPr="00E91572">
        <w:rPr>
          <w:rFonts w:eastAsia="ヒラギノ角ゴ Pro W3" w:cs="Times New Roman"/>
          <w:color w:val="000000"/>
          <w:szCs w:val="20"/>
          <w:lang w:val="en-GB" w:eastAsia="en-GB"/>
        </w:rPr>
        <w:instrText xml:space="preserve"> REF _Ref7697120 \h  \* MERGEFORMAT </w:instrText>
      </w:r>
      <w:r w:rsidRPr="00E91572">
        <w:rPr>
          <w:rFonts w:eastAsia="ヒラギノ角ゴ Pro W3" w:cs="Times New Roman"/>
          <w:color w:val="000000"/>
          <w:szCs w:val="20"/>
          <w:lang w:val="en-GB" w:eastAsia="en-GB"/>
        </w:rPr>
      </w:r>
      <w:r w:rsidRPr="00E91572">
        <w:rPr>
          <w:rFonts w:eastAsia="ヒラギノ角ゴ Pro W3" w:cs="Times New Roman"/>
          <w:color w:val="000000"/>
          <w:szCs w:val="20"/>
          <w:lang w:val="en-GB" w:eastAsia="en-GB"/>
        </w:rPr>
        <w:fldChar w:fldCharType="separate"/>
      </w:r>
      <w:r w:rsidRPr="00E91572">
        <w:rPr>
          <w:rStyle w:val="Strong"/>
        </w:rPr>
        <w:t xml:space="preserve">Table </w:t>
      </w:r>
      <w:r>
        <w:rPr>
          <w:rFonts w:asciiTheme="majorHAnsi" w:eastAsia="ヒラギノ角ゴ Pro W3" w:hAnsiTheme="majorHAnsi" w:cs="Calibri"/>
          <w:b/>
          <w:noProof/>
          <w:szCs w:val="22"/>
        </w:rPr>
        <w:t>6</w:t>
      </w:r>
      <w:r w:rsidRPr="00E91572">
        <w:rPr>
          <w:rFonts w:asciiTheme="majorHAnsi" w:eastAsia="ヒラギノ角ゴ Pro W3" w:hAnsiTheme="majorHAnsi" w:cs="Calibri"/>
          <w:b/>
          <w:noProof/>
          <w:szCs w:val="22"/>
        </w:rPr>
        <w:noBreakHyphen/>
      </w:r>
      <w:r>
        <w:rPr>
          <w:rFonts w:asciiTheme="majorHAnsi" w:eastAsia="ヒラギノ角ゴ Pro W3" w:hAnsiTheme="majorHAnsi" w:cs="Calibri"/>
          <w:b/>
          <w:noProof/>
          <w:szCs w:val="22"/>
        </w:rPr>
        <w:t>3</w:t>
      </w:r>
      <w:r w:rsidRPr="00E91572">
        <w:rPr>
          <w:rFonts w:eastAsia="ヒラギノ角ゴ Pro W3" w:cs="Times New Roman"/>
          <w:color w:val="000000"/>
          <w:szCs w:val="20"/>
          <w:lang w:val="en-GB" w:eastAsia="en-GB"/>
        </w:rPr>
        <w:fldChar w:fldCharType="end"/>
      </w:r>
      <w:r w:rsidRPr="00E91572">
        <w:rPr>
          <w:rFonts w:eastAsia="ヒラギノ角ゴ Pro W3" w:cs="Times New Roman"/>
          <w:color w:val="000000"/>
          <w:szCs w:val="20"/>
          <w:lang w:val="en-GB" w:eastAsia="en-GB"/>
        </w:rPr>
        <w:t>).</w:t>
      </w:r>
    </w:p>
    <w:p w14:paraId="4EEFBA47" w14:textId="77777777" w:rsidR="00671FE7" w:rsidRPr="00E91572" w:rsidRDefault="00671FE7" w:rsidP="00671FE7">
      <w:pPr>
        <w:jc w:val="left"/>
        <w:rPr>
          <w:rStyle w:val="Strong"/>
        </w:rPr>
      </w:pPr>
      <w:r w:rsidRPr="00E91572">
        <w:rPr>
          <w:rStyle w:val="Strong"/>
        </w:rPr>
        <w:br w:type="page"/>
      </w:r>
    </w:p>
    <w:p w14:paraId="02E27299" w14:textId="0040D82B" w:rsidR="00671FE7" w:rsidRDefault="00671FE7" w:rsidP="00D7271E">
      <w:pPr>
        <w:pStyle w:val="Caption"/>
      </w:pPr>
      <w:r>
        <w:lastRenderedPageBreak/>
        <w:t>Table 6</w:t>
      </w:r>
      <w:r>
        <w:noBreakHyphen/>
      </w:r>
      <w:r w:rsidR="00B34E6F">
        <w:t>3</w:t>
      </w:r>
      <w:r>
        <w:t xml:space="preserve"> Activities and sectors covered by the EU ETS in 202</w:t>
      </w:r>
      <w:r w:rsidR="009406AE">
        <w:t>2</w:t>
      </w:r>
    </w:p>
    <w:p w14:paraId="30DD0AE2" w14:textId="6F8C8093" w:rsidR="007A1B5D" w:rsidRDefault="00383D08" w:rsidP="00700445">
      <w:pPr>
        <w:rPr>
          <w:lang w:val="en-GB"/>
        </w:rPr>
      </w:pPr>
      <w:r w:rsidRPr="00383D08">
        <w:rPr>
          <w:noProof/>
          <w:lang w:val="en-GB" w:eastAsia="en-GB"/>
        </w:rPr>
        <w:drawing>
          <wp:inline distT="0" distB="0" distL="0" distR="0" wp14:anchorId="1F47F392" wp14:editId="46E54405">
            <wp:extent cx="5972810" cy="5715000"/>
            <wp:effectExtent l="0" t="0" r="889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810" cy="5715000"/>
                    </a:xfrm>
                    <a:prstGeom prst="rect">
                      <a:avLst/>
                    </a:prstGeom>
                    <a:noFill/>
                    <a:ln>
                      <a:noFill/>
                    </a:ln>
                  </pic:spPr>
                </pic:pic>
              </a:graphicData>
            </a:graphic>
          </wp:inline>
        </w:drawing>
      </w:r>
    </w:p>
    <w:p w14:paraId="430C96E8" w14:textId="55060E55" w:rsidR="00671FE7" w:rsidRDefault="00671FE7" w:rsidP="00700445">
      <w:pPr>
        <w:rPr>
          <w:lang w:val="en-GB"/>
        </w:rPr>
      </w:pPr>
    </w:p>
    <w:p w14:paraId="6349379E" w14:textId="77777777" w:rsidR="00DC64B3" w:rsidRPr="00E91572" w:rsidRDefault="00445D3E" w:rsidP="00DC64B3">
      <w:pPr>
        <w:pStyle w:val="Source"/>
        <w:spacing w:after="40"/>
        <w:ind w:left="1134" w:hanging="1134"/>
        <w:jc w:val="left"/>
        <w:rPr>
          <w:rFonts w:asciiTheme="majorHAnsi" w:hAnsiTheme="majorHAnsi"/>
          <w:noProof w:val="0"/>
          <w:szCs w:val="18"/>
          <w:lang w:val="en-GB"/>
        </w:rPr>
      </w:pPr>
      <w:r w:rsidRPr="00410401">
        <w:t xml:space="preserve">Notes: </w:t>
      </w:r>
      <w:r w:rsidR="00DC64B3" w:rsidRPr="00E91572">
        <w:rPr>
          <w:rFonts w:asciiTheme="majorHAnsi" w:hAnsiTheme="majorHAnsi"/>
          <w:noProof w:val="0"/>
          <w:szCs w:val="18"/>
          <w:lang w:val="en-GB"/>
        </w:rPr>
        <w:t>Entity is counted if it is not excluded and if it has any ETS information in 20</w:t>
      </w:r>
      <w:r w:rsidR="00DC64B3">
        <w:rPr>
          <w:rFonts w:asciiTheme="majorHAnsi" w:hAnsiTheme="majorHAnsi"/>
          <w:noProof w:val="0"/>
          <w:szCs w:val="18"/>
          <w:lang w:val="en-GB"/>
        </w:rPr>
        <w:t>20</w:t>
      </w:r>
      <w:r w:rsidR="00DC64B3" w:rsidRPr="00E91572">
        <w:rPr>
          <w:rFonts w:asciiTheme="majorHAnsi" w:hAnsiTheme="majorHAnsi"/>
          <w:noProof w:val="0"/>
          <w:szCs w:val="18"/>
          <w:lang w:val="en-GB"/>
        </w:rPr>
        <w:t>.</w:t>
      </w:r>
    </w:p>
    <w:p w14:paraId="73347E2A" w14:textId="6452F94A" w:rsidR="00445D3E" w:rsidRPr="00410401" w:rsidRDefault="00445D3E" w:rsidP="00410401">
      <w:pPr>
        <w:pStyle w:val="Graphicsourcenotes"/>
      </w:pPr>
      <w:r w:rsidRPr="00410401">
        <w:t xml:space="preserve">Source: </w:t>
      </w:r>
      <w:r w:rsidR="00DC64B3" w:rsidRPr="00E91572">
        <w:rPr>
          <w:rFonts w:asciiTheme="majorHAnsi" w:hAnsiTheme="majorHAnsi" w:cstheme="minorHAnsi"/>
          <w:szCs w:val="18"/>
        </w:rPr>
        <w:t xml:space="preserve">EUTL, </w:t>
      </w:r>
      <w:r w:rsidR="00383D08">
        <w:rPr>
          <w:rFonts w:asciiTheme="majorHAnsi" w:hAnsiTheme="majorHAnsi" w:cstheme="minorHAnsi"/>
          <w:szCs w:val="18"/>
        </w:rPr>
        <w:t>May 2nd</w:t>
      </w:r>
      <w:r w:rsidR="00DC64B3">
        <w:rPr>
          <w:rFonts w:asciiTheme="majorHAnsi" w:hAnsiTheme="majorHAnsi" w:cstheme="minorHAnsi"/>
          <w:szCs w:val="18"/>
        </w:rPr>
        <w:t>,</w:t>
      </w:r>
      <w:r w:rsidR="00DC64B3" w:rsidRPr="00E91572">
        <w:rPr>
          <w:rFonts w:asciiTheme="majorHAnsi" w:hAnsiTheme="majorHAnsi" w:cstheme="minorHAnsi"/>
          <w:szCs w:val="18"/>
        </w:rPr>
        <w:t xml:space="preserve"> 20</w:t>
      </w:r>
      <w:r w:rsidR="00DC64B3">
        <w:rPr>
          <w:rFonts w:asciiTheme="majorHAnsi" w:hAnsiTheme="majorHAnsi" w:cstheme="minorHAnsi"/>
          <w:szCs w:val="18"/>
        </w:rPr>
        <w:t>2</w:t>
      </w:r>
      <w:r w:rsidR="002B2D62">
        <w:rPr>
          <w:rFonts w:asciiTheme="majorHAnsi" w:hAnsiTheme="majorHAnsi" w:cstheme="minorHAnsi"/>
          <w:szCs w:val="18"/>
        </w:rPr>
        <w:t>3</w:t>
      </w:r>
      <w:r w:rsidR="00DC64B3" w:rsidRPr="00E91572">
        <w:rPr>
          <w:rFonts w:asciiTheme="majorHAnsi" w:hAnsiTheme="majorHAnsi" w:cstheme="minorHAnsi"/>
          <w:szCs w:val="18"/>
        </w:rPr>
        <w:t>, own calculation.</w:t>
      </w:r>
    </w:p>
    <w:p w14:paraId="3FD8FFED" w14:textId="28594EEB" w:rsidR="00445D3E" w:rsidRDefault="00445D3E" w:rsidP="00445D3E"/>
    <w:p w14:paraId="4A5986EB" w14:textId="1B88C447" w:rsidR="00DC64B3" w:rsidRPr="007A1B5D" w:rsidRDefault="00DC64B3" w:rsidP="00AE7893">
      <w:pPr>
        <w:pStyle w:val="Heading2"/>
      </w:pPr>
      <w:bookmarkStart w:id="24" w:name="_Toc97126236"/>
      <w:r>
        <w:t>6.3 Information on aviation operators covered</w:t>
      </w:r>
      <w:bookmarkEnd w:id="24"/>
    </w:p>
    <w:p w14:paraId="05355934" w14:textId="6AABCC78" w:rsidR="00DC64B3" w:rsidRDefault="00DC64B3" w:rsidP="00445D3E"/>
    <w:p w14:paraId="722D5436" w14:textId="4A80F213" w:rsidR="00DC64B3" w:rsidRPr="00E91572" w:rsidRDefault="00DC64B3" w:rsidP="00DC64B3">
      <w:pPr>
        <w:spacing w:before="40" w:after="40"/>
        <w:rPr>
          <w:rFonts w:eastAsia="ヒラギノ角ゴ Pro W3" w:cs="Calibri"/>
          <w:iCs/>
          <w:lang w:val="en-GB"/>
        </w:rPr>
      </w:pPr>
      <w:r w:rsidRPr="00E91572">
        <w:rPr>
          <w:rFonts w:eastAsia="ヒラギノ角ゴ Pro W3" w:cs="Calibri"/>
          <w:iCs/>
          <w:lang w:val="en-GB"/>
        </w:rPr>
        <w:t xml:space="preserve">The EU ETS covered </w:t>
      </w:r>
      <w:r w:rsidR="00383D08">
        <w:rPr>
          <w:rFonts w:eastAsia="ヒラギノ角ゴ Pro W3" w:cs="Calibri"/>
          <w:iCs/>
          <w:lang w:val="en-GB"/>
        </w:rPr>
        <w:t>359</w:t>
      </w:r>
      <w:r w:rsidRPr="00E91572">
        <w:rPr>
          <w:rFonts w:eastAsia="ヒラギノ角ゴ Pro W3" w:cs="Calibri"/>
          <w:iCs/>
          <w:lang w:val="en-GB"/>
        </w:rPr>
        <w:t xml:space="preserve"> aircraft operators in 20</w:t>
      </w:r>
      <w:r>
        <w:rPr>
          <w:rFonts w:eastAsia="ヒラギノ角ゴ Pro W3" w:cs="Calibri"/>
          <w:iCs/>
          <w:lang w:val="en-GB"/>
        </w:rPr>
        <w:t>2</w:t>
      </w:r>
      <w:r w:rsidR="002B2D62">
        <w:rPr>
          <w:rFonts w:eastAsia="ヒラギノ角ゴ Pro W3" w:cs="Calibri"/>
          <w:iCs/>
          <w:lang w:val="en-GB"/>
        </w:rPr>
        <w:t>2</w:t>
      </w:r>
      <w:r w:rsidRPr="00E91572">
        <w:rPr>
          <w:rFonts w:eastAsia="ヒラギノ角ゴ Pro W3" w:cs="Calibri"/>
          <w:iCs/>
          <w:lang w:val="en-GB"/>
        </w:rPr>
        <w:t>. The total emissions of aviation covered by the EU ETS in 20</w:t>
      </w:r>
      <w:r>
        <w:rPr>
          <w:rFonts w:eastAsia="ヒラギノ角ゴ Pro W3" w:cs="Calibri"/>
          <w:iCs/>
          <w:lang w:val="en-GB"/>
        </w:rPr>
        <w:t>2</w:t>
      </w:r>
      <w:r w:rsidR="002B2D62">
        <w:rPr>
          <w:rFonts w:eastAsia="ヒラギノ角ゴ Pro W3" w:cs="Calibri"/>
          <w:iCs/>
          <w:lang w:val="en-GB"/>
        </w:rPr>
        <w:t>2</w:t>
      </w:r>
      <w:r>
        <w:rPr>
          <w:rFonts w:eastAsia="ヒラギノ角ゴ Pro W3" w:cs="Calibri"/>
          <w:iCs/>
          <w:lang w:val="en-GB"/>
        </w:rPr>
        <w:t xml:space="preserve"> were equal to </w:t>
      </w:r>
      <w:r w:rsidR="002B2D62">
        <w:rPr>
          <w:rFonts w:eastAsia="ヒラギノ角ゴ Pro W3" w:cs="Calibri"/>
          <w:iCs/>
          <w:lang w:val="en-GB"/>
        </w:rPr>
        <w:t>4</w:t>
      </w:r>
      <w:r w:rsidR="00383D08">
        <w:rPr>
          <w:rFonts w:eastAsia="ヒラギノ角ゴ Pro W3" w:cs="Calibri"/>
          <w:iCs/>
          <w:lang w:val="en-GB"/>
        </w:rPr>
        <w:t>9</w:t>
      </w:r>
      <w:r w:rsidRPr="00E91572">
        <w:rPr>
          <w:rFonts w:eastAsia="ヒラギノ角ゴ Pro W3" w:cs="Calibri"/>
          <w:iCs/>
          <w:lang w:val="en-GB"/>
        </w:rPr>
        <w:t xml:space="preserve"> Mt CO</w:t>
      </w:r>
      <w:r w:rsidRPr="00E91572">
        <w:rPr>
          <w:rFonts w:eastAsia="ヒラギノ角ゴ Pro W3" w:cs="Calibri"/>
          <w:iCs/>
          <w:vertAlign w:val="subscript"/>
          <w:lang w:val="en-GB"/>
        </w:rPr>
        <w:t>2</w:t>
      </w:r>
      <w:r w:rsidRPr="00E91572">
        <w:rPr>
          <w:rFonts w:eastAsia="ヒラギノ角ゴ Pro W3" w:cs="Calibri"/>
          <w:iCs/>
          <w:lang w:val="en-GB"/>
        </w:rPr>
        <w:t>-eq.. Since its inclusion in the EU ETS in 2012, the aviation sector has had to purchase EUAs from the stationary sector to fully cover aviation emissions. Initially the scope of aviation covered all flights from, to and within the European Economic Area. However, to allow time for negotiations within the ICAO on a global market-based measure for aviation, the requirements of the EU ETS were suspended for flights to and from non-European countries for 2013-2016. The balance between the supply of and demand for EUAAs changed considerably between 2012 and 2013-2016, because in 2012 operators were allowed to choose the applicable scope, whereas since 2013 a uniform scope has been applied. For more information see the report “EEA Trends and Projections in the EU ETS 2018” (</w:t>
      </w:r>
      <w:r w:rsidRPr="00E91572">
        <w:rPr>
          <w:rFonts w:eastAsia="ヒラギノ角ゴ Pro W3" w:cs="Calibri"/>
          <w:iCs/>
          <w:vertAlign w:val="superscript"/>
          <w:lang w:val="en-GB"/>
        </w:rPr>
        <w:footnoteReference w:id="15"/>
      </w:r>
      <w:r w:rsidRPr="00E91572">
        <w:rPr>
          <w:rFonts w:eastAsia="ヒラギノ角ゴ Pro W3" w:cs="Calibri"/>
          <w:iCs/>
          <w:lang w:val="en-GB"/>
        </w:rPr>
        <w:t>).</w:t>
      </w:r>
    </w:p>
    <w:p w14:paraId="50048737" w14:textId="77777777" w:rsidR="00DC64B3" w:rsidRPr="00E91572" w:rsidRDefault="00DC64B3" w:rsidP="00DC64B3">
      <w:pPr>
        <w:spacing w:before="40" w:after="40"/>
        <w:rPr>
          <w:rFonts w:eastAsia="ヒラギノ角ゴ Pro W3" w:cs="Calibri"/>
          <w:iCs/>
          <w:lang w:val="en-GB"/>
        </w:rPr>
      </w:pPr>
      <w:r w:rsidRPr="00E91572">
        <w:rPr>
          <w:rFonts w:eastAsia="ヒラギノ角ゴ Pro W3" w:cs="Calibri"/>
          <w:iCs/>
          <w:lang w:val="en-GB"/>
        </w:rPr>
        <w:lastRenderedPageBreak/>
        <w:t xml:space="preserve">In light of the adoption of a Resolution by the 2016 ICAO Assembly on the global Carbon Offsetting and Reduction Scheme for International Aviation (CORSIA) the EU has decided to maintain the geographic scope of the EU ETS limited to intra-EEA flights from 2017 onwards. The EU ETS for aviation will be subject to a new review in the light of the international developments related to the operationalisation of CORSIA. The next review should consider how to implement the global measure in Union law through a revision of the EU ETS legislation. In the absence of a new amendment, the EU ETS would revert back to its original full scope from 2024. </w:t>
      </w:r>
    </w:p>
    <w:p w14:paraId="58C41C86" w14:textId="77777777" w:rsidR="00DC64B3" w:rsidRPr="00E91572" w:rsidRDefault="00DC64B3" w:rsidP="00DC64B3">
      <w:pPr>
        <w:rPr>
          <w:sz w:val="18"/>
        </w:rPr>
      </w:pPr>
      <w:r w:rsidRPr="00E91572">
        <w:rPr>
          <w:rFonts w:eastAsia="ヒラギノ角ゴ Pro W3" w:cs="Calibri"/>
          <w:iCs/>
          <w:lang w:val="en-GB"/>
        </w:rPr>
        <w:t>Therefore, in December 2017 a regulation has been adopted (</w:t>
      </w:r>
      <w:r w:rsidRPr="00E91572">
        <w:rPr>
          <w:rFonts w:eastAsia="ヒラギノ角ゴ Pro W3" w:cs="Calibri"/>
          <w:iCs/>
          <w:vertAlign w:val="superscript"/>
          <w:lang w:val="en-GB"/>
        </w:rPr>
        <w:footnoteReference w:id="16"/>
      </w:r>
      <w:r w:rsidRPr="00E91572">
        <w:rPr>
          <w:rFonts w:eastAsia="ヒラギノ角ゴ Pro W3" w:cs="Calibri"/>
          <w:iCs/>
          <w:lang w:val="en-GB"/>
        </w:rPr>
        <w:t>). From 2021 onwards, the same linear reduction factor as for stationary installations shall apply to aviation operators. In the Regulation it is laid down that the Commission is required to report to the European Parliament and the Council on the implementation of the global market-based measure (GMBM) and to consider a revision of the EU ETS Directive.</w:t>
      </w:r>
    </w:p>
    <w:p w14:paraId="5BD01AB8" w14:textId="61994A7E" w:rsidR="00DC64B3" w:rsidRDefault="00DC64B3" w:rsidP="00445D3E"/>
    <w:p w14:paraId="50CB9FA3" w14:textId="1ABD6D25" w:rsidR="00DC64B3" w:rsidRDefault="00DC64B3" w:rsidP="00445D3E"/>
    <w:p w14:paraId="1941F077" w14:textId="7BD2A49E" w:rsidR="00DC64B3" w:rsidRDefault="00DC64B3" w:rsidP="00AE7893">
      <w:pPr>
        <w:pStyle w:val="Heading1"/>
      </w:pPr>
      <w:bookmarkStart w:id="25" w:name="_Toc97126237"/>
      <w:r>
        <w:t>7 Size of entities</w:t>
      </w:r>
      <w:bookmarkEnd w:id="25"/>
    </w:p>
    <w:p w14:paraId="7010DDD5" w14:textId="2E71AB15" w:rsidR="00DC64B3" w:rsidRDefault="00DC64B3" w:rsidP="00445D3E"/>
    <w:p w14:paraId="13C36260" w14:textId="77777777" w:rsidR="00DC64B3" w:rsidRPr="00E91572" w:rsidRDefault="00DC64B3" w:rsidP="00DC64B3">
      <w:pPr>
        <w:spacing w:before="40" w:after="40"/>
        <w:rPr>
          <w:rFonts w:eastAsia="ヒラギノ角ゴ Pro W3" w:cs="Calibri"/>
          <w:iCs/>
          <w:lang w:val="en-GB"/>
        </w:rPr>
      </w:pPr>
      <w:r w:rsidRPr="00E91572">
        <w:rPr>
          <w:rFonts w:eastAsia="ヒラギノ角ゴ Pro W3" w:cs="Calibri"/>
          <w:iCs/>
          <w:lang w:val="en-GB"/>
        </w:rPr>
        <w:t xml:space="preserve">In the EU ETS data viewer, it is possible to limit the data to entities of a certain size category. An overview of the possible choices is presented below. </w:t>
      </w:r>
    </w:p>
    <w:p w14:paraId="49A1BAB1" w14:textId="77777777" w:rsidR="00DC64B3" w:rsidRPr="00E91572" w:rsidRDefault="00DC64B3" w:rsidP="00DC64B3">
      <w:pPr>
        <w:spacing w:before="40" w:after="40"/>
        <w:rPr>
          <w:rFonts w:eastAsia="ヒラギノ角ゴ Pro W3" w:cs="Calibri"/>
          <w:iCs/>
          <w:lang w:val="en-GB"/>
        </w:rPr>
      </w:pPr>
    </w:p>
    <w:p w14:paraId="063D971A" w14:textId="2CA97F66" w:rsidR="00DC64B3" w:rsidRDefault="00DC64B3" w:rsidP="00D7271E">
      <w:pPr>
        <w:pStyle w:val="Caption"/>
      </w:pPr>
      <w:r>
        <w:t>Table 7</w:t>
      </w:r>
      <w:r>
        <w:noBreakHyphen/>
        <w:t>1 Size definition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6"/>
        <w:gridCol w:w="7207"/>
      </w:tblGrid>
      <w:tr w:rsidR="00DC64B3" w:rsidRPr="00DC64B3" w14:paraId="573F1936" w14:textId="77777777" w:rsidTr="00DC64B3">
        <w:tc>
          <w:tcPr>
            <w:tcW w:w="1146" w:type="dxa"/>
            <w:shd w:val="clear" w:color="auto" w:fill="auto"/>
          </w:tcPr>
          <w:p w14:paraId="2AB04AFB" w14:textId="77777777" w:rsidR="00DC64B3" w:rsidRPr="00DC64B3" w:rsidRDefault="00DC64B3" w:rsidP="00DC64B3">
            <w:pPr>
              <w:spacing w:before="40" w:after="40"/>
              <w:rPr>
                <w:rFonts w:eastAsia="ヒラギノ角ゴ Pro W3" w:cs="Calibri"/>
                <w:b/>
                <w:iCs/>
                <w:lang w:val="en-GB"/>
              </w:rPr>
            </w:pPr>
            <w:r w:rsidRPr="00DC64B3">
              <w:rPr>
                <w:rFonts w:eastAsia="ヒラギノ角ゴ Pro W3" w:cs="Calibri"/>
                <w:b/>
                <w:iCs/>
                <w:lang w:val="en-GB"/>
              </w:rPr>
              <w:t>Size</w:t>
            </w:r>
          </w:p>
        </w:tc>
        <w:tc>
          <w:tcPr>
            <w:tcW w:w="7207" w:type="dxa"/>
            <w:shd w:val="clear" w:color="auto" w:fill="auto"/>
          </w:tcPr>
          <w:p w14:paraId="48393F52" w14:textId="77777777" w:rsidR="00DC64B3" w:rsidRPr="00DC64B3" w:rsidRDefault="00DC64B3" w:rsidP="00DC64B3">
            <w:pPr>
              <w:spacing w:before="40" w:after="40"/>
              <w:rPr>
                <w:rFonts w:eastAsia="ヒラギノ角ゴ Pro W3" w:cs="Calibri"/>
                <w:b/>
                <w:iCs/>
                <w:lang w:val="en-GB"/>
              </w:rPr>
            </w:pPr>
            <w:r w:rsidRPr="00DC64B3">
              <w:rPr>
                <w:rFonts w:eastAsia="ヒラギノ角ゴ Pro W3" w:cs="Calibri"/>
                <w:b/>
                <w:iCs/>
                <w:lang w:val="en-GB"/>
              </w:rPr>
              <w:t>Emission values</w:t>
            </w:r>
          </w:p>
        </w:tc>
      </w:tr>
      <w:tr w:rsidR="00DC64B3" w:rsidRPr="00DC64B3" w14:paraId="7C36D707" w14:textId="77777777" w:rsidTr="00DC64B3">
        <w:tc>
          <w:tcPr>
            <w:tcW w:w="1146" w:type="dxa"/>
            <w:shd w:val="clear" w:color="auto" w:fill="auto"/>
          </w:tcPr>
          <w:p w14:paraId="2AB70017" w14:textId="77777777" w:rsidR="00DC64B3" w:rsidRPr="00DC64B3" w:rsidRDefault="00DC64B3" w:rsidP="00DC64B3">
            <w:pPr>
              <w:spacing w:before="40" w:after="40"/>
              <w:rPr>
                <w:rFonts w:eastAsia="ヒラギノ角ゴ Pro W3" w:cs="Calibri"/>
                <w:iCs/>
                <w:lang w:val="en-GB"/>
              </w:rPr>
            </w:pPr>
            <w:r w:rsidRPr="00DC64B3">
              <w:rPr>
                <w:rFonts w:eastAsia="ヒラギノ角ゴ Pro W3" w:cs="Calibri"/>
                <w:iCs/>
                <w:lang w:val="en-GB"/>
              </w:rPr>
              <w:t>large</w:t>
            </w:r>
          </w:p>
        </w:tc>
        <w:tc>
          <w:tcPr>
            <w:tcW w:w="7207" w:type="dxa"/>
            <w:shd w:val="clear" w:color="auto" w:fill="auto"/>
          </w:tcPr>
          <w:p w14:paraId="498B332B" w14:textId="77777777" w:rsidR="00DC64B3" w:rsidRPr="00DC64B3" w:rsidRDefault="00DC64B3" w:rsidP="00DC64B3">
            <w:pPr>
              <w:spacing w:before="40" w:after="40"/>
              <w:rPr>
                <w:rFonts w:eastAsia="ヒラギノ角ゴ Pro W3" w:cs="Calibri"/>
                <w:iCs/>
                <w:lang w:val="en-GB"/>
              </w:rPr>
            </w:pPr>
            <w:r w:rsidRPr="00DC64B3">
              <w:rPr>
                <w:rFonts w:eastAsia="ヒラギノ角ゴ Pro W3" w:cs="Calibri"/>
                <w:iCs/>
                <w:lang w:val="en-GB"/>
              </w:rPr>
              <w:t>Entities with verified emissions higher than 500 000 t CO</w:t>
            </w:r>
            <w:r w:rsidRPr="00DC64B3">
              <w:rPr>
                <w:rFonts w:eastAsia="ヒラギノ角ゴ Pro W3" w:cs="Calibri"/>
                <w:iCs/>
                <w:vertAlign w:val="subscript"/>
                <w:lang w:val="en-GB"/>
              </w:rPr>
              <w:t>2</w:t>
            </w:r>
          </w:p>
        </w:tc>
      </w:tr>
      <w:tr w:rsidR="00DC64B3" w:rsidRPr="00DC64B3" w14:paraId="601F8425" w14:textId="77777777" w:rsidTr="00DC64B3">
        <w:tc>
          <w:tcPr>
            <w:tcW w:w="1146" w:type="dxa"/>
            <w:shd w:val="clear" w:color="auto" w:fill="auto"/>
          </w:tcPr>
          <w:p w14:paraId="5EE422A6" w14:textId="77777777" w:rsidR="00DC64B3" w:rsidRPr="00DC64B3" w:rsidRDefault="00DC64B3" w:rsidP="00DC64B3">
            <w:pPr>
              <w:spacing w:before="40" w:after="40"/>
              <w:rPr>
                <w:rFonts w:eastAsia="ヒラギノ角ゴ Pro W3" w:cs="Calibri"/>
                <w:iCs/>
                <w:lang w:val="en-GB"/>
              </w:rPr>
            </w:pPr>
            <w:r w:rsidRPr="00DC64B3">
              <w:rPr>
                <w:rFonts w:eastAsia="ヒラギノ角ゴ Pro W3" w:cs="Calibri"/>
                <w:iCs/>
                <w:lang w:val="en-GB"/>
              </w:rPr>
              <w:t>medium</w:t>
            </w:r>
          </w:p>
        </w:tc>
        <w:tc>
          <w:tcPr>
            <w:tcW w:w="7207" w:type="dxa"/>
            <w:shd w:val="clear" w:color="auto" w:fill="auto"/>
          </w:tcPr>
          <w:p w14:paraId="711224ED" w14:textId="77777777" w:rsidR="00DC64B3" w:rsidRPr="00DC64B3" w:rsidRDefault="00DC64B3" w:rsidP="00DC64B3">
            <w:pPr>
              <w:spacing w:before="40" w:after="40"/>
              <w:rPr>
                <w:rFonts w:eastAsia="ヒラギノ角ゴ Pro W3" w:cs="Calibri"/>
                <w:iCs/>
                <w:lang w:val="en-GB"/>
              </w:rPr>
            </w:pPr>
            <w:r w:rsidRPr="00DC64B3">
              <w:rPr>
                <w:rFonts w:eastAsia="ヒラギノ角ゴ Pro W3" w:cs="Calibri"/>
                <w:iCs/>
                <w:lang w:val="en-GB"/>
              </w:rPr>
              <w:t>Entities with verified emissions comprised between 50 000 and 500 000 t CO</w:t>
            </w:r>
            <w:r w:rsidRPr="00DC64B3">
              <w:rPr>
                <w:rFonts w:eastAsia="ヒラギノ角ゴ Pro W3" w:cs="Calibri"/>
                <w:iCs/>
                <w:vertAlign w:val="subscript"/>
                <w:lang w:val="en-GB"/>
              </w:rPr>
              <w:t>2</w:t>
            </w:r>
          </w:p>
        </w:tc>
      </w:tr>
      <w:tr w:rsidR="00DC64B3" w:rsidRPr="00DC64B3" w14:paraId="6E9AEA57" w14:textId="77777777" w:rsidTr="00DC64B3">
        <w:tc>
          <w:tcPr>
            <w:tcW w:w="1146" w:type="dxa"/>
            <w:shd w:val="clear" w:color="auto" w:fill="auto"/>
          </w:tcPr>
          <w:p w14:paraId="341D5696" w14:textId="77777777" w:rsidR="00DC64B3" w:rsidRPr="00DC64B3" w:rsidRDefault="00DC64B3" w:rsidP="00DC64B3">
            <w:pPr>
              <w:spacing w:before="40" w:after="40"/>
              <w:rPr>
                <w:rFonts w:eastAsia="ヒラギノ角ゴ Pro W3" w:cs="Calibri"/>
                <w:iCs/>
                <w:lang w:val="en-GB"/>
              </w:rPr>
            </w:pPr>
            <w:r w:rsidRPr="00DC64B3">
              <w:rPr>
                <w:rFonts w:eastAsia="ヒラギノ角ゴ Pro W3" w:cs="Calibri"/>
                <w:iCs/>
                <w:lang w:val="en-GB"/>
              </w:rPr>
              <w:t>small</w:t>
            </w:r>
          </w:p>
        </w:tc>
        <w:tc>
          <w:tcPr>
            <w:tcW w:w="7207" w:type="dxa"/>
            <w:shd w:val="clear" w:color="auto" w:fill="auto"/>
          </w:tcPr>
          <w:p w14:paraId="648F757B" w14:textId="77777777" w:rsidR="00DC64B3" w:rsidRPr="00DC64B3" w:rsidRDefault="00DC64B3" w:rsidP="00DC64B3">
            <w:pPr>
              <w:spacing w:before="40" w:after="40"/>
              <w:rPr>
                <w:rFonts w:eastAsia="ヒラギノ角ゴ Pro W3" w:cs="Calibri"/>
                <w:iCs/>
                <w:lang w:val="en-GB"/>
              </w:rPr>
            </w:pPr>
            <w:r w:rsidRPr="00DC64B3">
              <w:rPr>
                <w:rFonts w:eastAsia="ヒラギノ角ゴ Pro W3" w:cs="Calibri"/>
                <w:iCs/>
                <w:lang w:val="en-GB"/>
              </w:rPr>
              <w:t>Entities with verified emissions comprised between 25 000 and 50 000 t CO</w:t>
            </w:r>
            <w:r w:rsidRPr="00DC64B3">
              <w:rPr>
                <w:rFonts w:eastAsia="ヒラギノ角ゴ Pro W3" w:cs="Calibri"/>
                <w:iCs/>
                <w:vertAlign w:val="subscript"/>
                <w:lang w:val="en-GB"/>
              </w:rPr>
              <w:t>2</w:t>
            </w:r>
          </w:p>
        </w:tc>
      </w:tr>
      <w:tr w:rsidR="00DC64B3" w:rsidRPr="00DC64B3" w14:paraId="72A71407" w14:textId="77777777" w:rsidTr="00DC64B3">
        <w:tc>
          <w:tcPr>
            <w:tcW w:w="1146" w:type="dxa"/>
            <w:shd w:val="clear" w:color="auto" w:fill="auto"/>
          </w:tcPr>
          <w:p w14:paraId="481CF2B5" w14:textId="77777777" w:rsidR="00DC64B3" w:rsidRPr="00DC64B3" w:rsidRDefault="00DC64B3" w:rsidP="00DC64B3">
            <w:pPr>
              <w:spacing w:before="40" w:after="40"/>
              <w:rPr>
                <w:rFonts w:eastAsia="ヒラギノ角ゴ Pro W3" w:cs="Calibri"/>
                <w:iCs/>
                <w:lang w:val="en-GB"/>
              </w:rPr>
            </w:pPr>
            <w:r w:rsidRPr="00DC64B3">
              <w:rPr>
                <w:rFonts w:eastAsia="ヒラギノ角ゴ Pro W3" w:cs="Calibri"/>
                <w:iCs/>
                <w:lang w:val="en-GB"/>
              </w:rPr>
              <w:t>mini</w:t>
            </w:r>
          </w:p>
        </w:tc>
        <w:tc>
          <w:tcPr>
            <w:tcW w:w="7207" w:type="dxa"/>
            <w:shd w:val="clear" w:color="auto" w:fill="auto"/>
          </w:tcPr>
          <w:p w14:paraId="1997E133" w14:textId="77777777" w:rsidR="00DC64B3" w:rsidRPr="00DC64B3" w:rsidRDefault="00DC64B3" w:rsidP="00DC64B3">
            <w:pPr>
              <w:spacing w:before="40" w:after="40"/>
              <w:rPr>
                <w:rFonts w:eastAsia="ヒラギノ角ゴ Pro W3" w:cs="Calibri"/>
                <w:iCs/>
                <w:lang w:val="en-GB"/>
              </w:rPr>
            </w:pPr>
            <w:r w:rsidRPr="00DC64B3">
              <w:rPr>
                <w:rFonts w:eastAsia="ヒラギノ角ゴ Pro W3" w:cs="Calibri"/>
                <w:iCs/>
                <w:lang w:val="en-GB"/>
              </w:rPr>
              <w:t>Entities with verified emissions lower than 25 000 t CO</w:t>
            </w:r>
            <w:r w:rsidRPr="00DC64B3">
              <w:rPr>
                <w:rFonts w:eastAsia="ヒラギノ角ゴ Pro W3" w:cs="Calibri"/>
                <w:iCs/>
                <w:vertAlign w:val="subscript"/>
                <w:lang w:val="en-GB"/>
              </w:rPr>
              <w:t>2</w:t>
            </w:r>
          </w:p>
        </w:tc>
      </w:tr>
      <w:tr w:rsidR="00DC64B3" w:rsidRPr="00DC64B3" w14:paraId="4CCF39DB" w14:textId="77777777" w:rsidTr="00DC64B3">
        <w:tc>
          <w:tcPr>
            <w:tcW w:w="1146" w:type="dxa"/>
            <w:shd w:val="clear" w:color="auto" w:fill="auto"/>
          </w:tcPr>
          <w:p w14:paraId="0EB83AB8" w14:textId="77777777" w:rsidR="00DC64B3" w:rsidRPr="00DC64B3" w:rsidRDefault="00DC64B3" w:rsidP="00DC64B3">
            <w:pPr>
              <w:spacing w:before="40" w:after="40"/>
              <w:rPr>
                <w:rFonts w:eastAsia="ヒラギノ角ゴ Pro W3" w:cs="Calibri"/>
                <w:iCs/>
                <w:lang w:val="en-GB"/>
              </w:rPr>
            </w:pPr>
            <w:r w:rsidRPr="00DC64B3">
              <w:rPr>
                <w:rFonts w:eastAsia="ヒラギノ角ゴ Pro W3" w:cs="Calibri"/>
                <w:iCs/>
                <w:lang w:val="en-GB"/>
              </w:rPr>
              <w:t>zero</w:t>
            </w:r>
          </w:p>
        </w:tc>
        <w:tc>
          <w:tcPr>
            <w:tcW w:w="7207" w:type="dxa"/>
            <w:shd w:val="clear" w:color="auto" w:fill="auto"/>
          </w:tcPr>
          <w:p w14:paraId="4CB16728" w14:textId="77777777" w:rsidR="00DC64B3" w:rsidRPr="00DC64B3" w:rsidRDefault="00DC64B3" w:rsidP="00DC64B3">
            <w:pPr>
              <w:spacing w:before="40" w:after="40"/>
              <w:rPr>
                <w:rFonts w:eastAsia="ヒラギノ角ゴ Pro W3" w:cs="Calibri"/>
                <w:iCs/>
                <w:lang w:val="en-GB"/>
              </w:rPr>
            </w:pPr>
            <w:r w:rsidRPr="00DC64B3">
              <w:rPr>
                <w:rFonts w:eastAsia="ヒラギノ角ゴ Pro W3" w:cs="Calibri"/>
                <w:iCs/>
                <w:lang w:val="en-GB"/>
              </w:rPr>
              <w:t>Entities with verified emissions equal to 0</w:t>
            </w:r>
          </w:p>
        </w:tc>
      </w:tr>
      <w:tr w:rsidR="00DC64B3" w:rsidRPr="00DC64B3" w14:paraId="1B4CFAB5" w14:textId="77777777" w:rsidTr="00DC64B3">
        <w:tc>
          <w:tcPr>
            <w:tcW w:w="1146" w:type="dxa"/>
            <w:shd w:val="clear" w:color="auto" w:fill="auto"/>
          </w:tcPr>
          <w:p w14:paraId="44EB559C" w14:textId="77777777" w:rsidR="00DC64B3" w:rsidRPr="00DC64B3" w:rsidRDefault="00DC64B3" w:rsidP="00DC64B3">
            <w:pPr>
              <w:spacing w:before="40" w:after="40"/>
              <w:rPr>
                <w:rFonts w:eastAsia="ヒラギノ角ゴ Pro W3" w:cs="Calibri"/>
                <w:iCs/>
                <w:lang w:val="en-GB"/>
              </w:rPr>
            </w:pPr>
            <w:r w:rsidRPr="00DC64B3">
              <w:rPr>
                <w:rFonts w:eastAsia="ヒラギノ角ゴ Pro W3" w:cs="Calibri"/>
                <w:iCs/>
                <w:lang w:val="en-GB"/>
              </w:rPr>
              <w:t>unknown</w:t>
            </w:r>
          </w:p>
        </w:tc>
        <w:tc>
          <w:tcPr>
            <w:tcW w:w="7207" w:type="dxa"/>
            <w:shd w:val="clear" w:color="auto" w:fill="auto"/>
          </w:tcPr>
          <w:p w14:paraId="13400D5A" w14:textId="77777777" w:rsidR="00DC64B3" w:rsidRPr="00DC64B3" w:rsidRDefault="00DC64B3" w:rsidP="00DC64B3">
            <w:pPr>
              <w:spacing w:before="40" w:after="40"/>
              <w:rPr>
                <w:rFonts w:eastAsia="ヒラギノ角ゴ Pro W3" w:cs="Calibri"/>
                <w:iCs/>
                <w:lang w:val="en-GB"/>
              </w:rPr>
            </w:pPr>
            <w:r w:rsidRPr="00DC64B3">
              <w:rPr>
                <w:rFonts w:eastAsia="ヒラギノ角ゴ Pro W3" w:cs="Calibri"/>
                <w:iCs/>
                <w:lang w:val="en-GB"/>
              </w:rPr>
              <w:t>Entities where verified emissions are unknown</w:t>
            </w:r>
          </w:p>
        </w:tc>
      </w:tr>
      <w:tr w:rsidR="00DC64B3" w:rsidRPr="00DC64B3" w14:paraId="37DD78FC" w14:textId="77777777" w:rsidTr="00DC64B3">
        <w:tc>
          <w:tcPr>
            <w:tcW w:w="1146" w:type="dxa"/>
            <w:shd w:val="clear" w:color="auto" w:fill="auto"/>
          </w:tcPr>
          <w:p w14:paraId="733AB064" w14:textId="77777777" w:rsidR="00DC64B3" w:rsidRPr="00DC64B3" w:rsidRDefault="00DC64B3" w:rsidP="00DC64B3">
            <w:pPr>
              <w:spacing w:before="40" w:after="40"/>
              <w:rPr>
                <w:rFonts w:eastAsia="ヒラギノ角ゴ Pro W3" w:cs="Calibri"/>
                <w:iCs/>
                <w:lang w:val="en-GB"/>
              </w:rPr>
            </w:pPr>
            <w:r w:rsidRPr="00DC64B3">
              <w:rPr>
                <w:rFonts w:eastAsia="ヒラギノ角ゴ Pro W3" w:cs="Calibri"/>
                <w:iCs/>
                <w:lang w:val="en-GB"/>
              </w:rPr>
              <w:t>All sizes</w:t>
            </w:r>
          </w:p>
        </w:tc>
        <w:tc>
          <w:tcPr>
            <w:tcW w:w="7207" w:type="dxa"/>
            <w:shd w:val="clear" w:color="auto" w:fill="auto"/>
          </w:tcPr>
          <w:p w14:paraId="2D8DE6D6" w14:textId="77777777" w:rsidR="00DC64B3" w:rsidRPr="00DC64B3" w:rsidRDefault="00DC64B3" w:rsidP="00DC64B3">
            <w:pPr>
              <w:spacing w:before="40" w:after="40"/>
              <w:rPr>
                <w:rFonts w:eastAsia="ヒラギノ角ゴ Pro W3" w:cs="Calibri"/>
                <w:iCs/>
                <w:lang w:val="en-GB"/>
              </w:rPr>
            </w:pPr>
            <w:r w:rsidRPr="00DC64B3">
              <w:rPr>
                <w:rFonts w:eastAsia="ヒラギノ角ゴ Pro W3" w:cs="Calibri"/>
                <w:iCs/>
                <w:lang w:val="en-GB"/>
              </w:rPr>
              <w:t>All entities</w:t>
            </w:r>
          </w:p>
        </w:tc>
      </w:tr>
    </w:tbl>
    <w:p w14:paraId="59BD0298" w14:textId="48B00884" w:rsidR="00DC64B3" w:rsidRPr="00DC64B3" w:rsidRDefault="00DC64B3" w:rsidP="00445D3E">
      <w:pPr>
        <w:rPr>
          <w:lang w:val="en-GB"/>
        </w:rPr>
      </w:pPr>
    </w:p>
    <w:p w14:paraId="1828C965" w14:textId="77777777" w:rsidR="00DC64B3" w:rsidRPr="00E91572" w:rsidRDefault="00DC64B3" w:rsidP="00DC64B3">
      <w:pPr>
        <w:spacing w:before="40" w:after="40"/>
        <w:rPr>
          <w:rFonts w:eastAsia="ヒラギノ角ゴ Pro W3" w:cs="Calibri"/>
          <w:iCs/>
          <w:lang w:val="en-GB"/>
        </w:rPr>
      </w:pPr>
      <w:r w:rsidRPr="00E91572">
        <w:rPr>
          <w:rFonts w:eastAsia="ヒラギノ角ゴ Pro W3" w:cs="Calibri"/>
          <w:iCs/>
          <w:lang w:val="en-GB"/>
        </w:rPr>
        <w:t>The EUTL does not contain information on the size of an entity. As an approximation, the maximum emissions of an entity over the time series are used to define its size.</w:t>
      </w:r>
    </w:p>
    <w:p w14:paraId="24438167" w14:textId="7E0C202D" w:rsidR="00DC64B3" w:rsidRDefault="00DC64B3" w:rsidP="00445D3E">
      <w:pPr>
        <w:rPr>
          <w:lang w:val="en-GB"/>
        </w:rPr>
      </w:pPr>
    </w:p>
    <w:p w14:paraId="323B5197" w14:textId="77777777" w:rsidR="00DC64B3" w:rsidRPr="00DC64B3" w:rsidRDefault="00DC64B3" w:rsidP="00445D3E">
      <w:pPr>
        <w:rPr>
          <w:lang w:val="en-GB"/>
        </w:rPr>
      </w:pPr>
    </w:p>
    <w:p w14:paraId="5B023084" w14:textId="4F2EAF92" w:rsidR="00DC64B3" w:rsidRDefault="00DC64B3" w:rsidP="00AE7893">
      <w:pPr>
        <w:pStyle w:val="Heading1"/>
      </w:pPr>
      <w:bookmarkStart w:id="26" w:name="_Toc97126238"/>
      <w:r>
        <w:t>8 Number of entities</w:t>
      </w:r>
      <w:bookmarkEnd w:id="26"/>
    </w:p>
    <w:p w14:paraId="286A411A" w14:textId="32CE6597" w:rsidR="00DC64B3" w:rsidRDefault="00DC64B3" w:rsidP="00445D3E"/>
    <w:p w14:paraId="59D3A833" w14:textId="77777777" w:rsidR="00DC64B3" w:rsidRPr="00E91572" w:rsidRDefault="00DC64B3" w:rsidP="00DC64B3">
      <w:pPr>
        <w:rPr>
          <w:rFonts w:eastAsia="ヒラギノ角ゴ Pro W3" w:cs="Calibri"/>
          <w:iCs/>
          <w:lang w:val="en-GB"/>
        </w:rPr>
      </w:pPr>
      <w:r w:rsidRPr="00E91572">
        <w:rPr>
          <w:rFonts w:eastAsia="ヒラギノ角ゴ Pro W3" w:cs="Calibri"/>
          <w:iCs/>
          <w:lang w:val="en-GB"/>
        </w:rPr>
        <w:t>The viewer can show the number of entities. A good indicator of whether an entity is participating in the system in a given year is that it is not excluded and that it has any ETS information in that year. Therefore, the number of entities only takes into account entities which are not excluded and for which ETS information (emissions, allocations or total surrendered units) are available in the year shown (including the reporting of zero emissions).</w:t>
      </w:r>
    </w:p>
    <w:p w14:paraId="27E886D1" w14:textId="77777777" w:rsidR="00DC64B3" w:rsidRPr="00E91572" w:rsidRDefault="00DC64B3" w:rsidP="00DC64B3">
      <w:pPr>
        <w:jc w:val="left"/>
        <w:rPr>
          <w:rFonts w:eastAsia="ヒラギノ角ゴ Pro W3" w:cs="Calibri"/>
          <w:iCs/>
          <w:lang w:val="en-GB"/>
        </w:rPr>
      </w:pPr>
      <w:r w:rsidRPr="00E91572">
        <w:rPr>
          <w:rFonts w:eastAsia="ヒラギノ角ゴ Pro W3" w:cs="Calibri"/>
          <w:iCs/>
          <w:lang w:val="en-GB"/>
        </w:rPr>
        <w:br w:type="page"/>
      </w:r>
    </w:p>
    <w:p w14:paraId="331C2567" w14:textId="4BFABA9E" w:rsidR="00DC64B3" w:rsidRDefault="00DC64B3" w:rsidP="00AE7893">
      <w:pPr>
        <w:pStyle w:val="Heading1"/>
      </w:pPr>
      <w:bookmarkStart w:id="27" w:name="_Toc97126239"/>
      <w:r>
        <w:lastRenderedPageBreak/>
        <w:t>9 Measures</w:t>
      </w:r>
      <w:bookmarkEnd w:id="27"/>
    </w:p>
    <w:p w14:paraId="35727CE1" w14:textId="77777777" w:rsidR="006F6984" w:rsidRDefault="006F6984" w:rsidP="006F6984">
      <w:pPr>
        <w:spacing w:before="40" w:after="40"/>
        <w:rPr>
          <w:rFonts w:eastAsia="ヒラギノ角ゴ Pro W3" w:cs="Calibri"/>
          <w:iCs/>
          <w:lang w:val="en-GB"/>
        </w:rPr>
      </w:pPr>
    </w:p>
    <w:p w14:paraId="3E72B7BB" w14:textId="1A5B23A0" w:rsidR="006F6984" w:rsidRPr="00E91572" w:rsidRDefault="006F6984" w:rsidP="006F6984">
      <w:pPr>
        <w:spacing w:before="40" w:after="40"/>
        <w:rPr>
          <w:rFonts w:eastAsia="ヒラギノ角ゴ Pro W3" w:cs="Calibri"/>
          <w:iCs/>
          <w:lang w:val="en-GB"/>
        </w:rPr>
      </w:pPr>
      <w:r w:rsidRPr="00E91572">
        <w:rPr>
          <w:rFonts w:eastAsia="ヒラギノ角ゴ Pro W3" w:cs="Calibri"/>
          <w:iCs/>
          <w:lang w:val="en-GB"/>
        </w:rPr>
        <w:t>The unit in which the information is downloaded from the EUTL is the tonne of CO</w:t>
      </w:r>
      <w:r w:rsidRPr="00E91572">
        <w:rPr>
          <w:rFonts w:eastAsia="ヒラギノ角ゴ Pro W3" w:cs="Calibri"/>
          <w:iCs/>
          <w:vertAlign w:val="subscript"/>
          <w:lang w:val="en-GB"/>
        </w:rPr>
        <w:t>2</w:t>
      </w:r>
      <w:r w:rsidRPr="00E91572">
        <w:rPr>
          <w:rFonts w:eastAsia="ヒラギノ角ゴ Pro W3" w:cs="Calibri"/>
          <w:iCs/>
          <w:lang w:val="en-GB"/>
        </w:rPr>
        <w:t xml:space="preserve"> equivalent and the emission trading unit — emission allowance or emission credit — one unit being equivalent to one tonne of CO</w:t>
      </w:r>
      <w:r w:rsidRPr="00E91572">
        <w:rPr>
          <w:rFonts w:eastAsia="ヒラギノ角ゴ Pro W3" w:cs="Calibri"/>
          <w:iCs/>
          <w:vertAlign w:val="subscript"/>
          <w:lang w:val="en-GB"/>
        </w:rPr>
        <w:t>2</w:t>
      </w:r>
      <w:r w:rsidRPr="00E91572">
        <w:rPr>
          <w:rFonts w:eastAsia="ヒラギノ角ゴ Pro W3" w:cs="Calibri"/>
          <w:iCs/>
          <w:lang w:val="en-GB"/>
        </w:rPr>
        <w:t xml:space="preserve">. </w:t>
      </w:r>
    </w:p>
    <w:p w14:paraId="6CD6157D" w14:textId="62EF405C" w:rsidR="006F6984" w:rsidRDefault="006F6984" w:rsidP="006F6984">
      <w:pPr>
        <w:spacing w:before="40" w:after="40"/>
        <w:rPr>
          <w:rFonts w:eastAsia="ヒラギノ角ゴ Pro W3" w:cs="Calibri"/>
          <w:iCs/>
          <w:lang w:val="en-GB"/>
        </w:rPr>
      </w:pPr>
      <w:r w:rsidRPr="00E91572">
        <w:rPr>
          <w:rFonts w:eastAsia="ヒラギノ角ゴ Pro W3" w:cs="Calibri"/>
          <w:iCs/>
          <w:lang w:val="en-GB"/>
        </w:rPr>
        <w:t>The EU ETS data viewer also offers the option to change the output values in kilo tonnes of CO</w:t>
      </w:r>
      <w:r w:rsidRPr="00E91572">
        <w:rPr>
          <w:rFonts w:eastAsia="ヒラギノ角ゴ Pro W3" w:cs="Calibri"/>
          <w:iCs/>
          <w:vertAlign w:val="subscript"/>
          <w:lang w:val="en-GB"/>
        </w:rPr>
        <w:t>2</w:t>
      </w:r>
      <w:r w:rsidRPr="00E91572">
        <w:rPr>
          <w:rFonts w:eastAsia="ヒラギノ角ゴ Pro W3" w:cs="Calibri"/>
          <w:iCs/>
          <w:lang w:val="en-GB"/>
        </w:rPr>
        <w:t xml:space="preserve"> equivalents or million tonnes of CO</w:t>
      </w:r>
      <w:r w:rsidRPr="00E91572">
        <w:rPr>
          <w:rFonts w:eastAsia="ヒラギノ角ゴ Pro W3" w:cs="Calibri"/>
          <w:iCs/>
          <w:vertAlign w:val="subscript"/>
          <w:lang w:val="en-GB"/>
        </w:rPr>
        <w:t>2</w:t>
      </w:r>
      <w:r w:rsidRPr="00E91572">
        <w:rPr>
          <w:rFonts w:eastAsia="ヒラギノ角ゴ Pro W3" w:cs="Calibri"/>
          <w:iCs/>
          <w:lang w:val="en-GB"/>
        </w:rPr>
        <w:t xml:space="preserve"> equivalents. </w:t>
      </w:r>
    </w:p>
    <w:p w14:paraId="0F85044F" w14:textId="345240B7" w:rsidR="006F6984" w:rsidRDefault="006F6984" w:rsidP="006F6984">
      <w:pPr>
        <w:spacing w:before="40" w:after="40"/>
        <w:rPr>
          <w:rFonts w:eastAsia="ヒラギノ角ゴ Pro W3" w:cs="Calibri"/>
          <w:iCs/>
          <w:lang w:val="en-GB"/>
        </w:rPr>
      </w:pPr>
    </w:p>
    <w:p w14:paraId="52898425" w14:textId="77777777" w:rsidR="006F6984" w:rsidRPr="006F6984" w:rsidRDefault="006F6984" w:rsidP="006F6984">
      <w:pPr>
        <w:spacing w:before="40" w:after="40"/>
        <w:rPr>
          <w:rFonts w:eastAsia="ヒラギノ角ゴ Pro W3" w:cs="Calibri"/>
          <w:iCs/>
          <w:lang w:val="en-GB"/>
        </w:rPr>
      </w:pPr>
    </w:p>
    <w:p w14:paraId="220F2DD7" w14:textId="7D02F9FA" w:rsidR="00DC64B3" w:rsidRDefault="00DC64B3" w:rsidP="00AE7893">
      <w:pPr>
        <w:pStyle w:val="Heading1"/>
      </w:pPr>
      <w:bookmarkStart w:id="28" w:name="_Toc97126240"/>
      <w:r>
        <w:t>10 Gases</w:t>
      </w:r>
      <w:bookmarkEnd w:id="28"/>
    </w:p>
    <w:p w14:paraId="21361F0F" w14:textId="77777777" w:rsidR="006F6984" w:rsidRDefault="006F6984" w:rsidP="006F6984">
      <w:pPr>
        <w:spacing w:before="40" w:after="40"/>
        <w:rPr>
          <w:rFonts w:eastAsia="ヒラギノ角ゴ Pro W3" w:cs="Calibri"/>
          <w:iCs/>
          <w:lang w:val="en-GB"/>
        </w:rPr>
      </w:pPr>
    </w:p>
    <w:p w14:paraId="19E0B834" w14:textId="77A46056" w:rsidR="006F6984" w:rsidRPr="00E91572" w:rsidRDefault="006F6984" w:rsidP="006F6984">
      <w:pPr>
        <w:spacing w:before="40" w:after="40"/>
        <w:rPr>
          <w:rFonts w:eastAsia="ヒラギノ角ゴ Pro W3" w:cs="Calibri"/>
          <w:iCs/>
          <w:lang w:val="en-GB"/>
        </w:rPr>
      </w:pPr>
      <w:r w:rsidRPr="00E91572">
        <w:rPr>
          <w:rFonts w:eastAsia="ヒラギノ角ゴ Pro W3" w:cs="Calibri"/>
          <w:iCs/>
          <w:lang w:val="en-GB"/>
        </w:rPr>
        <w:t xml:space="preserve">By </w:t>
      </w:r>
      <w:r w:rsidR="00D25E09" w:rsidRPr="00E91572">
        <w:rPr>
          <w:rFonts w:eastAsia="ヒラギノ角ゴ Pro W3" w:cs="Calibri"/>
          <w:iCs/>
          <w:lang w:val="en-GB"/>
        </w:rPr>
        <w:t>default,</w:t>
      </w:r>
      <w:r w:rsidRPr="00E91572">
        <w:rPr>
          <w:rFonts w:eastAsia="ヒラギノ角ゴ Pro W3" w:cs="Calibri"/>
          <w:iCs/>
          <w:lang w:val="en-GB"/>
        </w:rPr>
        <w:t xml:space="preserve"> the ETS covered only CO</w:t>
      </w:r>
      <w:r w:rsidRPr="00E91572">
        <w:rPr>
          <w:rFonts w:eastAsia="ヒラギノ角ゴ Pro W3" w:cs="Calibri"/>
          <w:iCs/>
          <w:vertAlign w:val="subscript"/>
          <w:lang w:val="en-GB"/>
        </w:rPr>
        <w:t>2</w:t>
      </w:r>
      <w:r w:rsidRPr="00E91572">
        <w:rPr>
          <w:rFonts w:eastAsia="ヒラギノ角ゴ Pro W3" w:cs="Calibri"/>
          <w:iCs/>
          <w:lang w:val="en-GB"/>
        </w:rPr>
        <w:t xml:space="preserve"> emissions in the first two trading periods (with the exemption of some smaller opt-ins in the second trading period). Since 2013, N</w:t>
      </w:r>
      <w:r w:rsidRPr="00E91572">
        <w:rPr>
          <w:rFonts w:eastAsia="ヒラギノ角ゴ Pro W3" w:cs="Calibri"/>
          <w:iCs/>
          <w:vertAlign w:val="subscript"/>
          <w:lang w:val="en-GB"/>
        </w:rPr>
        <w:t>2</w:t>
      </w:r>
      <w:r w:rsidRPr="00E91572">
        <w:rPr>
          <w:rFonts w:eastAsia="ヒラギノ角ゴ Pro W3" w:cs="Calibri"/>
          <w:iCs/>
          <w:lang w:val="en-GB"/>
        </w:rPr>
        <w:t xml:space="preserve">O from the production of nitric, adipic and glyoxylic acid and PFC emissions from aluminium production </w:t>
      </w:r>
      <w:r>
        <w:rPr>
          <w:rFonts w:eastAsia="ヒラギノ角ゴ Pro W3" w:cs="Calibri"/>
          <w:iCs/>
          <w:lang w:val="en-GB"/>
        </w:rPr>
        <w:t>(</w:t>
      </w:r>
      <w:r w:rsidRPr="00B604AE">
        <w:rPr>
          <w:rFonts w:eastAsia="ヒラギノ角ゴ Pro W3" w:cs="Calibri"/>
          <w:iCs/>
          <w:lang w:val="en-GB"/>
        </w:rPr>
        <w:t>CF</w:t>
      </w:r>
      <w:r w:rsidRPr="00B604AE">
        <w:rPr>
          <w:rFonts w:eastAsia="ヒラギノ角ゴ Pro W3" w:cs="Calibri"/>
          <w:iCs/>
          <w:vertAlign w:val="subscript"/>
          <w:lang w:val="en-GB"/>
        </w:rPr>
        <w:t>4</w:t>
      </w:r>
      <w:r>
        <w:rPr>
          <w:rFonts w:eastAsia="ヒラギノ角ゴ Pro W3" w:cs="Calibri"/>
          <w:iCs/>
          <w:lang w:val="en-GB"/>
        </w:rPr>
        <w:t xml:space="preserve"> and C</w:t>
      </w:r>
      <w:r w:rsidRPr="00364CA7">
        <w:rPr>
          <w:rFonts w:eastAsia="ヒラギノ角ゴ Pro W3" w:cs="Calibri"/>
          <w:iCs/>
          <w:vertAlign w:val="subscript"/>
          <w:lang w:val="en-GB"/>
        </w:rPr>
        <w:t>2</w:t>
      </w:r>
      <w:r>
        <w:rPr>
          <w:rFonts w:eastAsia="ヒラギノ角ゴ Pro W3" w:cs="Calibri"/>
          <w:iCs/>
          <w:lang w:val="en-GB"/>
        </w:rPr>
        <w:t>F</w:t>
      </w:r>
      <w:r w:rsidRPr="00364CA7">
        <w:rPr>
          <w:rFonts w:eastAsia="ヒラギノ角ゴ Pro W3" w:cs="Calibri"/>
          <w:iCs/>
          <w:vertAlign w:val="subscript"/>
          <w:lang w:val="en-GB"/>
        </w:rPr>
        <w:t>6</w:t>
      </w:r>
      <w:r>
        <w:rPr>
          <w:rFonts w:eastAsia="ヒラギノ角ゴ Pro W3" w:cs="Calibri"/>
          <w:iCs/>
          <w:lang w:val="en-GB"/>
        </w:rPr>
        <w:t xml:space="preserve">) </w:t>
      </w:r>
      <w:r w:rsidRPr="00E91572">
        <w:rPr>
          <w:rFonts w:eastAsia="ヒラギノ角ゴ Pro W3" w:cs="Calibri"/>
          <w:iCs/>
          <w:lang w:val="en-GB"/>
        </w:rPr>
        <w:t>are also included.</w:t>
      </w:r>
    </w:p>
    <w:p w14:paraId="5D076F51" w14:textId="77777777" w:rsidR="006F6984" w:rsidRPr="00E91572" w:rsidRDefault="006F6984" w:rsidP="006F6984">
      <w:pPr>
        <w:spacing w:before="40" w:after="40"/>
        <w:rPr>
          <w:rFonts w:eastAsia="ヒラギノ角ゴ Pro W3" w:cs="Calibri"/>
          <w:iCs/>
          <w:lang w:val="en-GB"/>
        </w:rPr>
      </w:pPr>
      <w:r w:rsidRPr="00E91572">
        <w:rPr>
          <w:rFonts w:eastAsia="ヒラギノ角ゴ Pro W3" w:cs="Calibri"/>
          <w:iCs/>
          <w:lang w:val="en-GB"/>
        </w:rPr>
        <w:t>As all allowances and verified emissions are reported in CO</w:t>
      </w:r>
      <w:r w:rsidRPr="00E91572">
        <w:rPr>
          <w:rFonts w:eastAsia="ヒラギノ角ゴ Pro W3" w:cs="Calibri"/>
          <w:iCs/>
          <w:vertAlign w:val="subscript"/>
          <w:lang w:val="en-GB"/>
        </w:rPr>
        <w:t>2</w:t>
      </w:r>
      <w:r w:rsidRPr="00E91572">
        <w:rPr>
          <w:rFonts w:eastAsia="ヒラギノ角ゴ Pro W3" w:cs="Calibri"/>
          <w:iCs/>
          <w:lang w:val="en-GB"/>
        </w:rPr>
        <w:t xml:space="preserve"> equivalent, it is not possible to distinguish whether an installation emitted CO</w:t>
      </w:r>
      <w:r w:rsidRPr="00E91572">
        <w:rPr>
          <w:rFonts w:eastAsia="ヒラギノ角ゴ Pro W3" w:cs="Calibri"/>
          <w:iCs/>
          <w:vertAlign w:val="subscript"/>
          <w:lang w:val="en-GB"/>
        </w:rPr>
        <w:t>2</w:t>
      </w:r>
      <w:r w:rsidRPr="00E91572">
        <w:rPr>
          <w:rFonts w:eastAsia="ヒラギノ角ゴ Pro W3" w:cs="Calibri"/>
          <w:iCs/>
          <w:lang w:val="en-GB"/>
        </w:rPr>
        <w:t>, N</w:t>
      </w:r>
      <w:r w:rsidRPr="00E91572">
        <w:rPr>
          <w:rFonts w:eastAsia="ヒラギノ角ゴ Pro W3" w:cs="Calibri"/>
          <w:iCs/>
          <w:vertAlign w:val="subscript"/>
          <w:lang w:val="en-GB"/>
        </w:rPr>
        <w:t>2</w:t>
      </w:r>
      <w:r w:rsidRPr="00E91572">
        <w:rPr>
          <w:rFonts w:eastAsia="ヒラギノ角ゴ Pro W3" w:cs="Calibri"/>
          <w:iCs/>
          <w:lang w:val="en-GB"/>
        </w:rPr>
        <w:t>O, PFC or a combination of gases.</w:t>
      </w:r>
    </w:p>
    <w:p w14:paraId="01465AC2" w14:textId="591978CA" w:rsidR="006F6984" w:rsidRDefault="006F6984" w:rsidP="006F6984">
      <w:pPr>
        <w:rPr>
          <w:szCs w:val="22"/>
          <w:lang w:val="en-GB"/>
        </w:rPr>
      </w:pPr>
    </w:p>
    <w:p w14:paraId="413BCC34" w14:textId="77777777" w:rsidR="006F6984" w:rsidRPr="006F6984" w:rsidRDefault="006F6984" w:rsidP="006F6984">
      <w:pPr>
        <w:rPr>
          <w:szCs w:val="22"/>
          <w:lang w:val="en-GB"/>
        </w:rPr>
      </w:pPr>
    </w:p>
    <w:p w14:paraId="4B220F57" w14:textId="2E15B32B" w:rsidR="00DC64B3" w:rsidRDefault="00DC64B3" w:rsidP="00AE7893">
      <w:pPr>
        <w:pStyle w:val="Heading1"/>
      </w:pPr>
      <w:bookmarkStart w:id="29" w:name="_Toc97126241"/>
      <w:r>
        <w:t>11 Annex</w:t>
      </w:r>
      <w:bookmarkEnd w:id="29"/>
    </w:p>
    <w:p w14:paraId="3B2AAE90" w14:textId="77777777" w:rsidR="00D25E09" w:rsidRPr="006F6984" w:rsidRDefault="00D25E09" w:rsidP="00D25E09">
      <w:pPr>
        <w:rPr>
          <w:szCs w:val="22"/>
          <w:lang w:val="en-GB"/>
        </w:rPr>
      </w:pPr>
    </w:p>
    <w:p w14:paraId="0458628E" w14:textId="12C2D659" w:rsidR="006F6984" w:rsidRDefault="006F6984" w:rsidP="00AE7893">
      <w:pPr>
        <w:pStyle w:val="Heading2"/>
      </w:pPr>
      <w:bookmarkStart w:id="30" w:name="_Toc97126242"/>
      <w:r w:rsidRPr="006F6984">
        <w:t>11.1</w:t>
      </w:r>
      <w:r>
        <w:t xml:space="preserve"> Stationary installations</w:t>
      </w:r>
      <w:bookmarkEnd w:id="30"/>
    </w:p>
    <w:p w14:paraId="57A5BCB8" w14:textId="0C45B504" w:rsidR="006F6984" w:rsidRPr="006F6984" w:rsidRDefault="006F6984" w:rsidP="00445D3E"/>
    <w:p w14:paraId="68E5B458" w14:textId="77777777" w:rsidR="006F6984" w:rsidRPr="00E91572" w:rsidRDefault="006F6984" w:rsidP="006F6984">
      <w:pPr>
        <w:spacing w:before="40" w:after="40"/>
        <w:rPr>
          <w:rFonts w:eastAsia="ヒラギノ角ゴ Pro W3" w:cs="Calibri"/>
          <w:iCs/>
          <w:szCs w:val="22"/>
          <w:lang w:val="en-GB"/>
        </w:rPr>
      </w:pPr>
      <w:r w:rsidRPr="00E91572">
        <w:rPr>
          <w:rFonts w:eastAsia="ヒラギノ角ゴ Pro W3" w:cs="Calibri"/>
          <w:iCs/>
          <w:szCs w:val="22"/>
          <w:lang w:val="en-GB"/>
        </w:rPr>
        <w:t xml:space="preserve">The amount of freely allocated allowances recorded in the EUTL has been corrected manually for six countries (see </w:t>
      </w:r>
      <w:r w:rsidRPr="00E91572">
        <w:rPr>
          <w:rFonts w:eastAsia="ヒラギノ角ゴ Pro W3" w:cs="Calibri"/>
          <w:iCs/>
          <w:szCs w:val="22"/>
          <w:lang w:val="en-GB"/>
        </w:rPr>
        <w:fldChar w:fldCharType="begin"/>
      </w:r>
      <w:r w:rsidRPr="00E91572">
        <w:rPr>
          <w:rFonts w:eastAsia="ヒラギノ角ゴ Pro W3" w:cs="Calibri"/>
          <w:iCs/>
          <w:szCs w:val="22"/>
          <w:lang w:val="en-GB"/>
        </w:rPr>
        <w:instrText xml:space="preserve"> REF _Ref7697186 \h  \* MERGEFORMAT </w:instrText>
      </w:r>
      <w:r w:rsidRPr="00E91572">
        <w:rPr>
          <w:rFonts w:eastAsia="ヒラギノ角ゴ Pro W3" w:cs="Calibri"/>
          <w:iCs/>
          <w:szCs w:val="22"/>
          <w:lang w:val="en-GB"/>
        </w:rPr>
      </w:r>
      <w:r w:rsidRPr="00E91572">
        <w:rPr>
          <w:rFonts w:eastAsia="ヒラギノ角ゴ Pro W3" w:cs="Calibri"/>
          <w:iCs/>
          <w:szCs w:val="22"/>
          <w:lang w:val="en-GB"/>
        </w:rPr>
        <w:fldChar w:fldCharType="separate"/>
      </w:r>
      <w:r w:rsidRPr="00E91572">
        <w:rPr>
          <w:rStyle w:val="Strong"/>
        </w:rPr>
        <w:t xml:space="preserve">Table </w:t>
      </w:r>
      <w:r>
        <w:rPr>
          <w:rFonts w:asciiTheme="majorHAnsi" w:eastAsia="ヒラギノ角ゴ Pro W3" w:hAnsiTheme="majorHAnsi" w:cs="Calibri"/>
          <w:b/>
          <w:noProof/>
          <w:szCs w:val="22"/>
        </w:rPr>
        <w:t>11</w:t>
      </w:r>
      <w:r w:rsidRPr="00E91572">
        <w:rPr>
          <w:rFonts w:asciiTheme="majorHAnsi" w:eastAsia="ヒラギノ角ゴ Pro W3" w:hAnsiTheme="majorHAnsi" w:cs="Calibri"/>
          <w:b/>
          <w:noProof/>
          <w:szCs w:val="22"/>
        </w:rPr>
        <w:noBreakHyphen/>
      </w:r>
      <w:r>
        <w:rPr>
          <w:rFonts w:asciiTheme="majorHAnsi" w:eastAsia="ヒラギノ角ゴ Pro W3" w:hAnsiTheme="majorHAnsi" w:cs="Calibri"/>
          <w:b/>
          <w:noProof/>
          <w:szCs w:val="22"/>
        </w:rPr>
        <w:t>1</w:t>
      </w:r>
      <w:r w:rsidRPr="00E91572">
        <w:rPr>
          <w:rFonts w:eastAsia="ヒラギノ角ゴ Pro W3" w:cs="Calibri"/>
          <w:iCs/>
          <w:szCs w:val="22"/>
          <w:lang w:val="en-GB"/>
        </w:rPr>
        <w:fldChar w:fldCharType="end"/>
      </w:r>
      <w:r w:rsidRPr="00E91572">
        <w:rPr>
          <w:rFonts w:eastAsia="ヒラギノ角ゴ Pro W3" w:cs="Calibri"/>
          <w:iCs/>
          <w:szCs w:val="22"/>
          <w:lang w:val="en-GB"/>
        </w:rPr>
        <w:t xml:space="preserve">). </w:t>
      </w:r>
    </w:p>
    <w:p w14:paraId="4F449345" w14:textId="77777777" w:rsidR="006F6984" w:rsidRPr="00E91572" w:rsidRDefault="006F6984" w:rsidP="006F6984">
      <w:pPr>
        <w:numPr>
          <w:ilvl w:val="0"/>
          <w:numId w:val="6"/>
        </w:numPr>
        <w:spacing w:before="40" w:after="40"/>
        <w:rPr>
          <w:rFonts w:eastAsia="ヒラギノ角ゴ Pro W3" w:cs="Calibri"/>
          <w:iCs/>
          <w:szCs w:val="22"/>
          <w:lang w:val="en-GB"/>
        </w:rPr>
      </w:pPr>
      <w:r w:rsidRPr="00E91572">
        <w:rPr>
          <w:rFonts w:eastAsia="ヒラギノ角ゴ Pro W3" w:cs="Calibri"/>
          <w:iCs/>
          <w:szCs w:val="22"/>
          <w:lang w:val="en-GB"/>
        </w:rPr>
        <w:t xml:space="preserve">Free allocation to installations in Austria and France has been corrected downwards as these countries have bought EUAs from the market and allocated these to new entrants. Therefore, the amount of free allocation recorded in the EUTL is higher than the amount of EUAs initially issued by these two countries. </w:t>
      </w:r>
    </w:p>
    <w:p w14:paraId="14D2AF36" w14:textId="77777777" w:rsidR="006F6984" w:rsidRPr="00E91572" w:rsidRDefault="006F6984" w:rsidP="006F6984">
      <w:pPr>
        <w:numPr>
          <w:ilvl w:val="0"/>
          <w:numId w:val="6"/>
        </w:numPr>
        <w:spacing w:before="40" w:after="40"/>
        <w:rPr>
          <w:rFonts w:eastAsia="ヒラギノ角ゴ Pro W3" w:cs="Calibri"/>
          <w:iCs/>
          <w:szCs w:val="22"/>
          <w:lang w:val="en-GB"/>
        </w:rPr>
      </w:pPr>
      <w:r w:rsidRPr="00E91572">
        <w:rPr>
          <w:rFonts w:eastAsia="ヒラギノ角ゴ Pro W3" w:cs="Calibri"/>
          <w:iCs/>
          <w:szCs w:val="22"/>
          <w:lang w:val="en-GB"/>
        </w:rPr>
        <w:t xml:space="preserve">In Germany, some operators gave back their free allocation and it was not possible to correct this in the EUTL. </w:t>
      </w:r>
    </w:p>
    <w:p w14:paraId="719868BB" w14:textId="77777777" w:rsidR="006F6984" w:rsidRPr="00E91572" w:rsidRDefault="006F6984" w:rsidP="006F6984">
      <w:pPr>
        <w:numPr>
          <w:ilvl w:val="0"/>
          <w:numId w:val="6"/>
        </w:numPr>
        <w:spacing w:before="40" w:after="40"/>
        <w:rPr>
          <w:rFonts w:eastAsia="ヒラギノ角ゴ Pro W3" w:cs="Calibri"/>
          <w:iCs/>
          <w:szCs w:val="22"/>
          <w:lang w:val="en-GB"/>
        </w:rPr>
      </w:pPr>
      <w:r w:rsidRPr="00E91572">
        <w:rPr>
          <w:rFonts w:eastAsia="ヒラギノ角ゴ Pro W3" w:cs="Calibri"/>
          <w:iCs/>
          <w:szCs w:val="22"/>
          <w:lang w:val="en-GB"/>
        </w:rPr>
        <w:t xml:space="preserve">Similarly, an excess of allowances on closed accounts was deleted in Denmark, which was not recorded in the EUTL. </w:t>
      </w:r>
    </w:p>
    <w:p w14:paraId="7EF6BE06" w14:textId="77777777" w:rsidR="006F6984" w:rsidRPr="00E91572" w:rsidRDefault="006F6984" w:rsidP="006F6984">
      <w:pPr>
        <w:numPr>
          <w:ilvl w:val="0"/>
          <w:numId w:val="6"/>
        </w:numPr>
        <w:spacing w:before="40" w:after="40"/>
        <w:rPr>
          <w:rFonts w:eastAsia="ヒラギノ角ゴ Pro W3" w:cs="Calibri"/>
          <w:iCs/>
          <w:szCs w:val="22"/>
          <w:lang w:val="en-GB"/>
        </w:rPr>
      </w:pPr>
      <w:r w:rsidRPr="00E91572">
        <w:rPr>
          <w:rFonts w:eastAsia="ヒラギノ角ゴ Pro W3" w:cs="Calibri"/>
          <w:iCs/>
          <w:szCs w:val="22"/>
          <w:lang w:val="en-GB"/>
        </w:rPr>
        <w:t xml:space="preserve">For Spain, the overall quantity recorded is correct, however, a correction is applied to its distribution across years. </w:t>
      </w:r>
    </w:p>
    <w:p w14:paraId="5AE4E231" w14:textId="77777777" w:rsidR="006F6984" w:rsidRPr="00E91572" w:rsidRDefault="006F6984" w:rsidP="006F6984">
      <w:pPr>
        <w:numPr>
          <w:ilvl w:val="0"/>
          <w:numId w:val="6"/>
        </w:numPr>
        <w:spacing w:before="40" w:after="40"/>
        <w:rPr>
          <w:rFonts w:eastAsia="ヒラギノ角ゴ Pro W3" w:cs="Calibri"/>
          <w:iCs/>
          <w:szCs w:val="22"/>
          <w:lang w:val="en-GB"/>
        </w:rPr>
      </w:pPr>
      <w:r w:rsidRPr="00E91572">
        <w:rPr>
          <w:rFonts w:eastAsia="ヒラギノ角ゴ Pro W3" w:cs="Calibri"/>
          <w:iCs/>
          <w:szCs w:val="22"/>
          <w:lang w:val="en-GB"/>
        </w:rPr>
        <w:t>Finally, the EUTL does not contain any information on free allocation to Bulgarian installations in 2007.</w:t>
      </w:r>
    </w:p>
    <w:p w14:paraId="693E0995" w14:textId="46143806" w:rsidR="006F6984" w:rsidRDefault="006F6984" w:rsidP="00D7271E">
      <w:pPr>
        <w:pStyle w:val="Caption"/>
      </w:pPr>
    </w:p>
    <w:p w14:paraId="68656F0E" w14:textId="4F812597" w:rsidR="006F6984" w:rsidRDefault="006F6984" w:rsidP="00D7271E">
      <w:pPr>
        <w:pStyle w:val="Caption"/>
      </w:pPr>
      <w:bookmarkStart w:id="31" w:name="_Hlk97124976"/>
      <w:r>
        <w:t>Table 11</w:t>
      </w:r>
      <w:r>
        <w:noBreakHyphen/>
        <w:t xml:space="preserve">1 Corrections of freely allocated allowances for stationary </w:t>
      </w:r>
      <w:bookmarkEnd w:id="31"/>
      <w:r>
        <w:t>installations</w:t>
      </w:r>
    </w:p>
    <w:p w14:paraId="10B61DB7" w14:textId="2A457F3D" w:rsidR="006F6984" w:rsidRDefault="006F6984" w:rsidP="00445D3E">
      <w:pPr>
        <w:rPr>
          <w:lang w:val="en-GB"/>
        </w:rPr>
      </w:pPr>
      <w:r w:rsidRPr="00E91572">
        <w:rPr>
          <w:rFonts w:ascii="Open Sans" w:eastAsia="ヒラギノ角ゴ Pro W3" w:hAnsi="Open Sans" w:cs="Times New Roman"/>
          <w:iCs/>
          <w:noProof/>
          <w:sz w:val="20"/>
          <w:lang w:val="en-GB" w:eastAsia="en-GB"/>
        </w:rPr>
        <w:drawing>
          <wp:inline distT="0" distB="0" distL="0" distR="0" wp14:anchorId="472F20ED" wp14:editId="760EEECC">
            <wp:extent cx="5400040" cy="1106785"/>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1106785"/>
                    </a:xfrm>
                    <a:prstGeom prst="rect">
                      <a:avLst/>
                    </a:prstGeom>
                    <a:noFill/>
                    <a:ln>
                      <a:noFill/>
                    </a:ln>
                  </pic:spPr>
                </pic:pic>
              </a:graphicData>
            </a:graphic>
          </wp:inline>
        </w:drawing>
      </w:r>
    </w:p>
    <w:p w14:paraId="262B897E" w14:textId="2655BA9A" w:rsidR="006F6984" w:rsidRDefault="006F6984" w:rsidP="00445D3E">
      <w:pPr>
        <w:rPr>
          <w:lang w:val="en-GB"/>
        </w:rPr>
      </w:pPr>
    </w:p>
    <w:p w14:paraId="14288118" w14:textId="437BF742" w:rsidR="006F6984" w:rsidRDefault="006F6984" w:rsidP="00AE7893">
      <w:pPr>
        <w:pStyle w:val="Heading2"/>
      </w:pPr>
      <w:bookmarkStart w:id="32" w:name="_Toc97126243"/>
      <w:r w:rsidRPr="006F6984">
        <w:lastRenderedPageBreak/>
        <w:t>11.</w:t>
      </w:r>
      <w:r>
        <w:t>2 Aviation</w:t>
      </w:r>
      <w:bookmarkEnd w:id="32"/>
    </w:p>
    <w:p w14:paraId="41E45C6B" w14:textId="4D6FE2E5" w:rsidR="006F6984" w:rsidRDefault="006F6984" w:rsidP="00445D3E">
      <w:pPr>
        <w:rPr>
          <w:lang w:val="en-GB"/>
        </w:rPr>
      </w:pPr>
    </w:p>
    <w:p w14:paraId="1AB737EC" w14:textId="77777777" w:rsidR="006F6984" w:rsidRPr="00E91572" w:rsidRDefault="006F6984" w:rsidP="006F6984">
      <w:pPr>
        <w:spacing w:before="40" w:after="40"/>
        <w:rPr>
          <w:rFonts w:eastAsia="ヒラギノ角ゴ Pro W3" w:cs="Calibri"/>
          <w:iCs/>
          <w:lang w:val="en-GB"/>
        </w:rPr>
      </w:pPr>
      <w:r w:rsidRPr="00E91572">
        <w:rPr>
          <w:rFonts w:eastAsia="ヒラギノ角ゴ Pro W3" w:cs="Calibri"/>
          <w:iCs/>
          <w:lang w:val="en-GB"/>
        </w:rPr>
        <w:t xml:space="preserve">EUAAs allocated for free for the year 2012 had to be returned by aviation operators if they chose to account for the reduced scope of the stop the clock decision. For the analysis of verified emissions of aviation operators in the year 2012, it is therefore necessary to reflect the amount of allowances returned following this decision, which is not recorded in the EUTL. The amount which had to be returned is publicly available on operator level. The European Commission has sent the according excel file with amounts which have to be returned. On the basis of this file and the EUAAs allocated for free as shown in the EUTL, returned allowances can be calculated on MS level as displayed in the right column in </w:t>
      </w:r>
      <w:r w:rsidRPr="00E91572">
        <w:rPr>
          <w:rFonts w:eastAsia="ヒラギノ角ゴ Pro W3" w:cs="Calibri"/>
          <w:iCs/>
          <w:szCs w:val="22"/>
          <w:lang w:val="en-GB"/>
        </w:rPr>
        <w:fldChar w:fldCharType="begin"/>
      </w:r>
      <w:r w:rsidRPr="00E91572">
        <w:rPr>
          <w:rFonts w:eastAsia="ヒラギノ角ゴ Pro W3" w:cs="Calibri"/>
          <w:iCs/>
          <w:lang w:val="en-GB"/>
        </w:rPr>
        <w:instrText xml:space="preserve"> REF _Ref7697208 \h </w:instrText>
      </w:r>
      <w:r w:rsidRPr="00E91572">
        <w:rPr>
          <w:rFonts w:eastAsia="ヒラギノ角ゴ Pro W3" w:cs="Calibri"/>
          <w:iCs/>
          <w:szCs w:val="22"/>
          <w:lang w:val="en-GB"/>
        </w:rPr>
        <w:instrText xml:space="preserve"> \* MERGEFORMAT </w:instrText>
      </w:r>
      <w:r w:rsidRPr="00E91572">
        <w:rPr>
          <w:rFonts w:eastAsia="ヒラギノ角ゴ Pro W3" w:cs="Calibri"/>
          <w:iCs/>
          <w:szCs w:val="22"/>
          <w:lang w:val="en-GB"/>
        </w:rPr>
      </w:r>
      <w:r w:rsidRPr="00E91572">
        <w:rPr>
          <w:rFonts w:eastAsia="ヒラギノ角ゴ Pro W3" w:cs="Calibri"/>
          <w:iCs/>
          <w:szCs w:val="22"/>
          <w:lang w:val="en-GB"/>
        </w:rPr>
        <w:fldChar w:fldCharType="separate"/>
      </w:r>
      <w:r w:rsidRPr="00E91572">
        <w:rPr>
          <w:rStyle w:val="Strong"/>
        </w:rPr>
        <w:t xml:space="preserve">Table </w:t>
      </w:r>
      <w:r>
        <w:rPr>
          <w:rFonts w:asciiTheme="majorHAnsi" w:eastAsia="ヒラギノ角ゴ Pro W3" w:hAnsiTheme="majorHAnsi" w:cs="Calibri"/>
          <w:b/>
          <w:noProof/>
          <w:szCs w:val="22"/>
        </w:rPr>
        <w:t>11</w:t>
      </w:r>
      <w:r w:rsidRPr="00E91572">
        <w:rPr>
          <w:rFonts w:asciiTheme="majorHAnsi" w:eastAsia="ヒラギノ角ゴ Pro W3" w:hAnsiTheme="majorHAnsi" w:cs="Calibri"/>
          <w:b/>
          <w:noProof/>
          <w:szCs w:val="22"/>
        </w:rPr>
        <w:noBreakHyphen/>
      </w:r>
      <w:r>
        <w:rPr>
          <w:rFonts w:asciiTheme="majorHAnsi" w:eastAsia="ヒラギノ角ゴ Pro W3" w:hAnsiTheme="majorHAnsi" w:cs="Calibri"/>
          <w:b/>
          <w:noProof/>
          <w:szCs w:val="22"/>
        </w:rPr>
        <w:t>2</w:t>
      </w:r>
      <w:r w:rsidRPr="00E91572">
        <w:rPr>
          <w:rFonts w:eastAsia="ヒラギノ角ゴ Pro W3" w:cs="Calibri"/>
          <w:iCs/>
          <w:szCs w:val="22"/>
          <w:lang w:val="en-GB"/>
        </w:rPr>
        <w:fldChar w:fldCharType="end"/>
      </w:r>
      <w:r w:rsidRPr="00E91572">
        <w:rPr>
          <w:rFonts w:eastAsia="ヒラギノ角ゴ Pro W3" w:cs="Calibri"/>
          <w:iCs/>
          <w:lang w:val="en-GB"/>
        </w:rPr>
        <w:t>.</w:t>
      </w:r>
    </w:p>
    <w:p w14:paraId="58604A80" w14:textId="5873CA85" w:rsidR="006F6984" w:rsidRDefault="006F6984">
      <w:pPr>
        <w:jc w:val="left"/>
        <w:rPr>
          <w:lang w:val="en-GB"/>
        </w:rPr>
      </w:pPr>
      <w:r>
        <w:rPr>
          <w:lang w:val="en-GB"/>
        </w:rPr>
        <w:br w:type="page"/>
      </w:r>
    </w:p>
    <w:p w14:paraId="11B640B9" w14:textId="77777777" w:rsidR="00B67F52" w:rsidRDefault="006F6984" w:rsidP="00D7271E">
      <w:pPr>
        <w:pStyle w:val="Caption"/>
      </w:pPr>
      <w:r w:rsidRPr="006F6984">
        <w:lastRenderedPageBreak/>
        <w:t>Table 11</w:t>
      </w:r>
      <w:r w:rsidRPr="006F6984">
        <w:noBreakHyphen/>
      </w:r>
      <w:r>
        <w:t>2 Adjustment to freely allocated allowances for aviation operators in the year 2012</w:t>
      </w:r>
    </w:p>
    <w:p w14:paraId="59C852C0" w14:textId="6E51DC87" w:rsidR="00FD3B8A" w:rsidRDefault="00FD3B8A" w:rsidP="00B67F52">
      <w:pPr>
        <w:pStyle w:val="StyleCaptionLeft"/>
        <w:rPr>
          <w:rFonts w:asciiTheme="majorHAnsi" w:eastAsiaTheme="majorEastAsia" w:hAnsiTheme="majorHAnsi" w:cstheme="majorBidi"/>
          <w:b w:val="0"/>
          <w:bCs w:val="0"/>
          <w:color w:val="008173"/>
          <w:sz w:val="24"/>
          <w:szCs w:val="26"/>
        </w:rPr>
      </w:pPr>
      <w:r w:rsidRPr="00E91572">
        <w:rPr>
          <w:rFonts w:ascii="Open Sans" w:eastAsia="ヒラギノ角ゴ Pro W3" w:hAnsi="Open Sans"/>
          <w:iCs/>
          <w:noProof/>
          <w:sz w:val="20"/>
          <w:lang w:eastAsia="en-GB"/>
        </w:rPr>
        <w:drawing>
          <wp:anchor distT="0" distB="0" distL="114300" distR="114300" simplePos="0" relativeHeight="251670528" behindDoc="1" locked="0" layoutInCell="1" allowOverlap="1" wp14:anchorId="398BD6E8" wp14:editId="52249810">
            <wp:simplePos x="0" y="0"/>
            <wp:positionH relativeFrom="margin">
              <wp:align>left</wp:align>
            </wp:positionH>
            <wp:positionV relativeFrom="paragraph">
              <wp:posOffset>9525</wp:posOffset>
            </wp:positionV>
            <wp:extent cx="5086350" cy="6877050"/>
            <wp:effectExtent l="0" t="0" r="0" b="0"/>
            <wp:wrapTight wrapText="bothSides">
              <wp:wrapPolygon edited="0">
                <wp:start x="0" y="0"/>
                <wp:lineTo x="0" y="21540"/>
                <wp:lineTo x="21519" y="21540"/>
                <wp:lineTo x="2151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6350" cy="68770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3" w:name="_Toc475713633"/>
      <w:r>
        <w:br w:type="page"/>
      </w:r>
    </w:p>
    <w:p w14:paraId="770763A0" w14:textId="2C23D699" w:rsidR="00FD3B8A" w:rsidRDefault="00FD3B8A" w:rsidP="00AE7893">
      <w:pPr>
        <w:pStyle w:val="Heading1"/>
      </w:pPr>
      <w:bookmarkStart w:id="34" w:name="_Toc97126244"/>
      <w:r>
        <w:lastRenderedPageBreak/>
        <w:t>12 Annex II Auctioning</w:t>
      </w:r>
      <w:bookmarkEnd w:id="34"/>
    </w:p>
    <w:p w14:paraId="732BCAB9" w14:textId="77777777" w:rsidR="00FD3B8A" w:rsidRDefault="00FD3B8A" w:rsidP="00FD3B8A">
      <w:pPr>
        <w:spacing w:before="40" w:after="40"/>
        <w:rPr>
          <w:rFonts w:eastAsia="ヒラギノ角ゴ Pro W3" w:cs="Calibri"/>
          <w:iCs/>
          <w:lang w:val="en-GB"/>
        </w:rPr>
      </w:pPr>
    </w:p>
    <w:p w14:paraId="3843043B" w14:textId="720D1A0F" w:rsidR="00FD3B8A" w:rsidRDefault="00FD3B8A" w:rsidP="00FD3B8A">
      <w:pPr>
        <w:spacing w:before="40" w:after="40"/>
        <w:rPr>
          <w:rFonts w:eastAsia="ヒラギノ角ゴ Pro W3" w:cs="Calibri"/>
          <w:iCs/>
          <w:lang w:val="en-GB"/>
        </w:rPr>
      </w:pPr>
      <w:r w:rsidRPr="00E91572">
        <w:rPr>
          <w:rFonts w:eastAsia="ヒラギノ角ゴ Pro W3" w:cs="Calibri"/>
          <w:iCs/>
          <w:lang w:val="en-GB"/>
        </w:rPr>
        <w:t xml:space="preserve">EUAs auctioned or sold by governments are not recorded in the EUTL. For the first and second trading period the number of EUAs auctioned or sold by governments has been collected from publications from the respective countries, as well as auction reports published by the trading platforms on which the auctions are carried out. </w:t>
      </w:r>
      <w:r w:rsidRPr="00E91572">
        <w:rPr>
          <w:rFonts w:eastAsia="ヒラギノ角ゴ Pro W3" w:cs="Calibri"/>
          <w:iCs/>
          <w:szCs w:val="22"/>
          <w:lang w:val="en-GB"/>
        </w:rPr>
        <w:fldChar w:fldCharType="begin"/>
      </w:r>
      <w:r w:rsidRPr="00E91572">
        <w:rPr>
          <w:rFonts w:eastAsia="ヒラギノ角ゴ Pro W3" w:cs="Calibri"/>
          <w:iCs/>
          <w:lang w:val="en-GB"/>
        </w:rPr>
        <w:instrText xml:space="preserve"> REF _Ref7697238 \h </w:instrText>
      </w:r>
      <w:r w:rsidRPr="00E91572">
        <w:rPr>
          <w:rFonts w:eastAsia="ヒラギノ角ゴ Pro W3" w:cs="Calibri"/>
          <w:iCs/>
          <w:szCs w:val="22"/>
          <w:lang w:val="en-GB"/>
        </w:rPr>
        <w:instrText xml:space="preserve"> \* MERGEFORMAT </w:instrText>
      </w:r>
      <w:r w:rsidRPr="00E91572">
        <w:rPr>
          <w:rFonts w:eastAsia="ヒラギノ角ゴ Pro W3" w:cs="Calibri"/>
          <w:iCs/>
          <w:szCs w:val="22"/>
          <w:lang w:val="en-GB"/>
        </w:rPr>
      </w:r>
      <w:r w:rsidRPr="00E91572">
        <w:rPr>
          <w:rFonts w:eastAsia="ヒラギノ角ゴ Pro W3" w:cs="Calibri"/>
          <w:iCs/>
          <w:szCs w:val="22"/>
          <w:lang w:val="en-GB"/>
        </w:rPr>
        <w:fldChar w:fldCharType="separate"/>
      </w:r>
      <w:r w:rsidRPr="00E91572">
        <w:rPr>
          <w:rStyle w:val="Strong"/>
        </w:rPr>
        <w:t>Table</w:t>
      </w:r>
      <w:r w:rsidRPr="00E91572">
        <w:rPr>
          <w:rFonts w:asciiTheme="majorHAnsi" w:eastAsia="ヒラギノ角ゴ Pro W3" w:hAnsiTheme="majorHAnsi" w:cs="Calibri"/>
          <w:b/>
          <w:szCs w:val="22"/>
        </w:rPr>
        <w:t xml:space="preserve"> </w:t>
      </w:r>
      <w:r>
        <w:rPr>
          <w:rFonts w:asciiTheme="majorHAnsi" w:eastAsia="ヒラギノ角ゴ Pro W3" w:hAnsiTheme="majorHAnsi" w:cs="Calibri"/>
          <w:b/>
          <w:noProof/>
          <w:szCs w:val="22"/>
        </w:rPr>
        <w:t>12</w:t>
      </w:r>
      <w:r w:rsidRPr="00E91572">
        <w:rPr>
          <w:rFonts w:asciiTheme="majorHAnsi" w:eastAsia="ヒラギノ角ゴ Pro W3" w:hAnsiTheme="majorHAnsi" w:cs="Calibri"/>
          <w:b/>
          <w:noProof/>
          <w:szCs w:val="22"/>
        </w:rPr>
        <w:noBreakHyphen/>
      </w:r>
      <w:r>
        <w:rPr>
          <w:rFonts w:asciiTheme="majorHAnsi" w:eastAsia="ヒラギノ角ゴ Pro W3" w:hAnsiTheme="majorHAnsi" w:cs="Calibri"/>
          <w:b/>
          <w:noProof/>
          <w:szCs w:val="22"/>
        </w:rPr>
        <w:t>1</w:t>
      </w:r>
      <w:r w:rsidRPr="00E91572">
        <w:rPr>
          <w:rFonts w:eastAsia="ヒラギノ角ゴ Pro W3" w:cs="Calibri"/>
          <w:iCs/>
          <w:szCs w:val="22"/>
          <w:lang w:val="en-GB"/>
        </w:rPr>
        <w:fldChar w:fldCharType="end"/>
      </w:r>
      <w:r w:rsidRPr="00E91572">
        <w:rPr>
          <w:rFonts w:eastAsia="ヒラギノ角ゴ Pro W3" w:cs="Calibri"/>
          <w:iCs/>
          <w:szCs w:val="22"/>
          <w:lang w:val="en-GB"/>
        </w:rPr>
        <w:t xml:space="preserve"> summarises</w:t>
      </w:r>
      <w:r w:rsidRPr="00E91572">
        <w:rPr>
          <w:rFonts w:eastAsia="ヒラギノ角ゴ Pro W3" w:cs="Calibri"/>
          <w:iCs/>
          <w:lang w:val="en-GB"/>
        </w:rPr>
        <w:t xml:space="preserve"> the amount of EUAs auctioned or sold by countries during the first and second trading period and includes the relevant sources (</w:t>
      </w:r>
      <w:r w:rsidRPr="00E91572">
        <w:rPr>
          <w:rFonts w:eastAsia="ヒラギノ角ゴ Pro W3" w:cs="Calibri"/>
          <w:iCs/>
          <w:vertAlign w:val="superscript"/>
          <w:lang w:val="en-GB"/>
        </w:rPr>
        <w:footnoteReference w:id="17"/>
      </w:r>
      <w:r w:rsidRPr="00E91572">
        <w:rPr>
          <w:rFonts w:eastAsia="ヒラギノ角ゴ Pro W3" w:cs="Calibri"/>
          <w:iCs/>
          <w:lang w:val="en-GB"/>
        </w:rPr>
        <w:t xml:space="preserve">).  Some countries (Belgium, Bulgaria, Czech Republic, Denmark, Hungary, Lithuania, Luxembourg, Norway, Poland and Romania) sold/auctioned allowances relative to the second trading period in the first months of 2013. These were mainly EUAs remaining in the new entrants reserve or unused EUAs set aside for UN backed emission reduction projects. These volumes are added to the 2012 figures (redistributed amounts; see </w:t>
      </w:r>
      <w:r w:rsidRPr="00E91572">
        <w:rPr>
          <w:rFonts w:eastAsia="ヒラギノ角ゴ Pro W3" w:cs="Calibri"/>
          <w:iCs/>
          <w:szCs w:val="22"/>
          <w:lang w:val="en-GB"/>
        </w:rPr>
        <w:fldChar w:fldCharType="begin"/>
      </w:r>
      <w:r w:rsidRPr="00E91572">
        <w:rPr>
          <w:rFonts w:eastAsia="ヒラギノ角ゴ Pro W3" w:cs="Calibri"/>
          <w:iCs/>
          <w:lang w:val="en-GB"/>
        </w:rPr>
        <w:instrText xml:space="preserve"> REF _Ref7697238 \h </w:instrText>
      </w:r>
      <w:r w:rsidRPr="00E91572">
        <w:rPr>
          <w:rFonts w:eastAsia="ヒラギノ角ゴ Pro W3" w:cs="Calibri"/>
          <w:iCs/>
          <w:szCs w:val="22"/>
          <w:lang w:val="en-GB"/>
        </w:rPr>
        <w:instrText xml:space="preserve"> \* MERGEFORMAT </w:instrText>
      </w:r>
      <w:r w:rsidRPr="00E91572">
        <w:rPr>
          <w:rFonts w:eastAsia="ヒラギノ角ゴ Pro W3" w:cs="Calibri"/>
          <w:iCs/>
          <w:szCs w:val="22"/>
          <w:lang w:val="en-GB"/>
        </w:rPr>
      </w:r>
      <w:r w:rsidRPr="00E91572">
        <w:rPr>
          <w:rFonts w:eastAsia="ヒラギノ角ゴ Pro W3" w:cs="Calibri"/>
          <w:iCs/>
          <w:szCs w:val="22"/>
          <w:lang w:val="en-GB"/>
        </w:rPr>
        <w:fldChar w:fldCharType="separate"/>
      </w:r>
      <w:r w:rsidRPr="00E91572">
        <w:rPr>
          <w:rStyle w:val="Strong"/>
        </w:rPr>
        <w:t>Table</w:t>
      </w:r>
      <w:r w:rsidRPr="00E91572">
        <w:rPr>
          <w:rFonts w:asciiTheme="majorHAnsi" w:eastAsia="ヒラギノ角ゴ Pro W3" w:hAnsiTheme="majorHAnsi" w:cs="Calibri"/>
          <w:b/>
          <w:szCs w:val="22"/>
        </w:rPr>
        <w:t xml:space="preserve"> </w:t>
      </w:r>
      <w:r>
        <w:rPr>
          <w:rFonts w:asciiTheme="majorHAnsi" w:eastAsia="ヒラギノ角ゴ Pro W3" w:hAnsiTheme="majorHAnsi" w:cs="Calibri"/>
          <w:b/>
          <w:noProof/>
          <w:szCs w:val="22"/>
        </w:rPr>
        <w:t>12</w:t>
      </w:r>
      <w:r w:rsidRPr="00E91572">
        <w:rPr>
          <w:rFonts w:asciiTheme="majorHAnsi" w:eastAsia="ヒラギノ角ゴ Pro W3" w:hAnsiTheme="majorHAnsi" w:cs="Calibri"/>
          <w:b/>
          <w:noProof/>
          <w:szCs w:val="22"/>
        </w:rPr>
        <w:noBreakHyphen/>
      </w:r>
      <w:r>
        <w:rPr>
          <w:rFonts w:asciiTheme="majorHAnsi" w:eastAsia="ヒラギノ角ゴ Pro W3" w:hAnsiTheme="majorHAnsi" w:cs="Calibri"/>
          <w:b/>
          <w:noProof/>
          <w:szCs w:val="22"/>
        </w:rPr>
        <w:t>1</w:t>
      </w:r>
      <w:r w:rsidRPr="00E91572">
        <w:rPr>
          <w:rFonts w:eastAsia="ヒラギノ角ゴ Pro W3" w:cs="Calibri"/>
          <w:iCs/>
          <w:szCs w:val="22"/>
          <w:lang w:val="en-GB"/>
        </w:rPr>
        <w:fldChar w:fldCharType="end"/>
      </w:r>
      <w:r w:rsidRPr="00E91572">
        <w:rPr>
          <w:rFonts w:eastAsia="ヒラギノ角ゴ Pro W3" w:cs="Calibri"/>
          <w:iCs/>
          <w:szCs w:val="22"/>
          <w:lang w:val="en-GB"/>
        </w:rPr>
        <w:t xml:space="preserve"> </w:t>
      </w:r>
      <w:r w:rsidRPr="00E91572">
        <w:rPr>
          <w:rFonts w:eastAsia="ヒラギノ角ゴ Pro W3" w:cs="Calibri"/>
          <w:iCs/>
          <w:lang w:val="en-GB"/>
        </w:rPr>
        <w:t>below).</w:t>
      </w:r>
    </w:p>
    <w:p w14:paraId="7BAD9F37" w14:textId="4EC2053A" w:rsidR="00FD3B8A" w:rsidRDefault="00FD3B8A" w:rsidP="00D7271E">
      <w:pPr>
        <w:pStyle w:val="Caption"/>
      </w:pPr>
    </w:p>
    <w:p w14:paraId="044F72D7" w14:textId="07A2D23E" w:rsidR="00FD3B8A" w:rsidRDefault="00FD3B8A" w:rsidP="00D7271E">
      <w:pPr>
        <w:pStyle w:val="Caption"/>
      </w:pPr>
      <w:r w:rsidRPr="006F6984">
        <w:t>Table 1</w:t>
      </w:r>
      <w:r>
        <w:t>2</w:t>
      </w:r>
      <w:r w:rsidRPr="006F6984">
        <w:noBreakHyphen/>
      </w:r>
      <w:r>
        <w:t>1 EUAs (1</w:t>
      </w:r>
      <w:r w:rsidRPr="00FD3B8A">
        <w:rPr>
          <w:vertAlign w:val="superscript"/>
        </w:rPr>
        <w:t>st</w:t>
      </w:r>
      <w:r>
        <w:t xml:space="preserve"> and 2</w:t>
      </w:r>
      <w:r w:rsidRPr="00FD3B8A">
        <w:rPr>
          <w:vertAlign w:val="superscript"/>
        </w:rPr>
        <w:t>nd</w:t>
      </w:r>
      <w:r>
        <w:t xml:space="preserve"> trading period) auctioned or sold, 2005 to 2013</w:t>
      </w:r>
    </w:p>
    <w:p w14:paraId="48FD65B4" w14:textId="65E9AC6E" w:rsidR="00FD3B8A" w:rsidRDefault="00FD3B8A" w:rsidP="00FD3B8A">
      <w:pPr>
        <w:spacing w:before="40" w:after="40"/>
        <w:rPr>
          <w:rFonts w:eastAsia="ヒラギノ角ゴ Pro W3" w:cs="Calibri"/>
          <w:iCs/>
          <w:lang w:val="en-GB"/>
        </w:rPr>
      </w:pPr>
      <w:r w:rsidRPr="00E91572">
        <w:rPr>
          <w:rFonts w:ascii="Open Sans" w:eastAsia="ヒラギノ角ゴ Pro W3" w:hAnsi="Open Sans" w:cs="Times New Roman"/>
          <w:iCs/>
          <w:noProof/>
          <w:sz w:val="20"/>
          <w:lang w:val="en-GB" w:eastAsia="en-GB"/>
        </w:rPr>
        <w:drawing>
          <wp:inline distT="0" distB="0" distL="0" distR="0" wp14:anchorId="5088E55B" wp14:editId="2ED3B564">
            <wp:extent cx="5400040" cy="442184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4421845"/>
                    </a:xfrm>
                    <a:prstGeom prst="rect">
                      <a:avLst/>
                    </a:prstGeom>
                    <a:noFill/>
                    <a:ln>
                      <a:noFill/>
                    </a:ln>
                  </pic:spPr>
                </pic:pic>
              </a:graphicData>
            </a:graphic>
          </wp:inline>
        </w:drawing>
      </w:r>
    </w:p>
    <w:p w14:paraId="20675178" w14:textId="36AD285C" w:rsidR="00FD3B8A" w:rsidRDefault="00FD3B8A" w:rsidP="00FD3B8A">
      <w:pPr>
        <w:spacing w:before="40" w:after="40"/>
        <w:rPr>
          <w:rFonts w:eastAsia="ヒラギノ角ゴ Pro W3" w:cs="Calibri"/>
          <w:iCs/>
          <w:lang w:val="en-GB"/>
        </w:rPr>
      </w:pPr>
    </w:p>
    <w:p w14:paraId="2BF21B01" w14:textId="0202B714" w:rsidR="00FD3B8A" w:rsidRDefault="00FD3B8A" w:rsidP="00FD3B8A">
      <w:pPr>
        <w:spacing w:before="40" w:after="40"/>
        <w:rPr>
          <w:rFonts w:eastAsia="ヒラギノ角ゴ Pro W3" w:cs="Calibri"/>
          <w:iCs/>
          <w:lang w:val="en-GB"/>
        </w:rPr>
      </w:pPr>
    </w:p>
    <w:p w14:paraId="3D363935" w14:textId="068CA55F" w:rsidR="00FD3B8A" w:rsidRDefault="00FD3B8A">
      <w:pPr>
        <w:jc w:val="left"/>
        <w:rPr>
          <w:rFonts w:eastAsia="ヒラギノ角ゴ Pro W3" w:cs="Calibri"/>
          <w:iCs/>
          <w:lang w:val="en-GB"/>
        </w:rPr>
      </w:pPr>
      <w:r>
        <w:rPr>
          <w:rFonts w:eastAsia="ヒラギノ角ゴ Pro W3" w:cs="Calibri"/>
          <w:iCs/>
          <w:lang w:val="en-GB"/>
        </w:rPr>
        <w:br w:type="page"/>
      </w:r>
    </w:p>
    <w:p w14:paraId="5EE85FCB" w14:textId="77777777" w:rsidR="00FD3B8A" w:rsidRPr="00E91572" w:rsidRDefault="00FD3B8A" w:rsidP="00FD3B8A">
      <w:pPr>
        <w:spacing w:before="40" w:after="40"/>
        <w:rPr>
          <w:rFonts w:eastAsia="ヒラギノ角ゴ Pro W3" w:cs="Calibri"/>
          <w:iCs/>
          <w:lang w:val="en-GB"/>
        </w:rPr>
      </w:pPr>
      <w:r w:rsidRPr="00E91572">
        <w:rPr>
          <w:rFonts w:eastAsia="ヒラギノ角ゴ Pro W3" w:cs="Calibri"/>
          <w:iCs/>
          <w:lang w:val="en-GB"/>
        </w:rPr>
        <w:lastRenderedPageBreak/>
        <w:t>From the third trading period onwards, a much larger share of allowances is auctioned. Volumes can be derived from auction calendars and auction reports published by the two exchanges that carry out auctions of allowances for the third trading period: The European Energy Exchange (EEX) and the Intercontinental Exchange (ICE) (</w:t>
      </w:r>
      <w:r w:rsidRPr="00E91572">
        <w:rPr>
          <w:rFonts w:eastAsia="ヒラギノ角ゴ Pro W3" w:cs="Calibri"/>
          <w:iCs/>
          <w:vertAlign w:val="superscript"/>
          <w:lang w:val="en-GB"/>
        </w:rPr>
        <w:footnoteReference w:id="18"/>
      </w:r>
      <w:r w:rsidRPr="00E91572">
        <w:rPr>
          <w:rFonts w:eastAsia="ヒラギノ角ゴ Pro W3" w:cs="Calibri"/>
          <w:iCs/>
          <w:lang w:val="en-GB"/>
        </w:rPr>
        <w:t xml:space="preserve">). However, auctions scheduled for a certain year may take place in an earlier or later year, due to technical or procedural reasons. To prevent delays to the timing of auctioning from significantly distorting annual trends, auctioned allowances have partly been redistributed in the third trading period. The following special cases have to be taken into account: </w:t>
      </w:r>
    </w:p>
    <w:p w14:paraId="13AFE15A" w14:textId="77777777" w:rsidR="00FD3B8A" w:rsidRPr="00E91572" w:rsidRDefault="00FD3B8A" w:rsidP="00FD3B8A">
      <w:pPr>
        <w:spacing w:before="40" w:after="40"/>
        <w:rPr>
          <w:rFonts w:eastAsia="ヒラギノ角ゴ Pro W3" w:cs="Calibri"/>
          <w:iCs/>
          <w:lang w:val="en-GB"/>
        </w:rPr>
      </w:pPr>
    </w:p>
    <w:p w14:paraId="5D64F962" w14:textId="77777777" w:rsidR="00FD3B8A" w:rsidRPr="00E91572" w:rsidRDefault="00FD3B8A" w:rsidP="00FD3B8A">
      <w:pPr>
        <w:numPr>
          <w:ilvl w:val="0"/>
          <w:numId w:val="7"/>
        </w:numPr>
        <w:spacing w:before="40" w:after="40"/>
        <w:rPr>
          <w:rFonts w:eastAsia="ヒラギノ角ゴ Pro W3" w:cs="Calibri"/>
          <w:iCs/>
          <w:lang w:val="en-GB"/>
        </w:rPr>
      </w:pPr>
      <w:r w:rsidRPr="00E91572">
        <w:rPr>
          <w:rFonts w:eastAsia="ヒラギノ角ゴ Pro W3" w:cs="Calibri"/>
          <w:iCs/>
          <w:lang w:val="en-GB"/>
        </w:rPr>
        <w:t>In 2012 so-called “early auctions” of third trading period EUAs were held. The volumes of these auctions were equal to 90 million EUA and are added to 2013 auctioning volumes in the data viewer.</w:t>
      </w:r>
    </w:p>
    <w:p w14:paraId="05C00D94" w14:textId="77777777" w:rsidR="00FD3B8A" w:rsidRPr="00E91572" w:rsidRDefault="00FD3B8A" w:rsidP="00FD3B8A">
      <w:pPr>
        <w:numPr>
          <w:ilvl w:val="0"/>
          <w:numId w:val="7"/>
        </w:numPr>
        <w:spacing w:before="40" w:after="40"/>
        <w:rPr>
          <w:rFonts w:eastAsia="ヒラギノ角ゴ Pro W3" w:cs="Calibri"/>
          <w:iCs/>
          <w:lang w:val="en-GB"/>
        </w:rPr>
      </w:pPr>
      <w:r w:rsidRPr="00E91572">
        <w:rPr>
          <w:rFonts w:eastAsia="ヒラギノ角ゴ Pro W3" w:cs="Calibri"/>
          <w:iCs/>
          <w:lang w:val="en-GB"/>
        </w:rPr>
        <w:t>Part of the new entrants reserve for the third trading period (NER300: 300 million EUAs in total) was auctioned to generate financial support for CCS and innovative renewable energy projects. These NER300 sales were carried out in two tranches; the first tranche of 210.6 million (sold in 2011 and 2012) is attributed to 2013, while the second tranche of 89.5 million EUAs (sold at the end of 2013/beginning of 2014) is attributed to 2014</w:t>
      </w:r>
      <w:r w:rsidRPr="00E91572">
        <w:rPr>
          <w:rFonts w:eastAsia="ヒラギノ角ゴ Pro W3" w:cs="Calibri"/>
          <w:iCs/>
          <w:vertAlign w:val="superscript"/>
          <w:lang w:val="en-GB"/>
        </w:rPr>
        <w:footnoteReference w:id="19"/>
      </w:r>
      <w:r w:rsidRPr="00E91572">
        <w:rPr>
          <w:rFonts w:eastAsia="ヒラギノ角ゴ Pro W3" w:cs="Calibri"/>
          <w:iCs/>
          <w:lang w:val="en-GB"/>
        </w:rPr>
        <w:t>.</w:t>
      </w:r>
    </w:p>
    <w:p w14:paraId="33D5AC9A" w14:textId="77777777" w:rsidR="00FD3B8A" w:rsidRPr="00E91572" w:rsidRDefault="00FD3B8A" w:rsidP="00FD3B8A">
      <w:pPr>
        <w:spacing w:before="40" w:after="40"/>
        <w:rPr>
          <w:rFonts w:eastAsia="ヒラギノ角ゴ Pro W3" w:cs="Calibri"/>
          <w:iCs/>
          <w:lang w:val="en-GB"/>
        </w:rPr>
      </w:pPr>
    </w:p>
    <w:p w14:paraId="274B4E83" w14:textId="77777777" w:rsidR="00FD3B8A" w:rsidRPr="00E91572" w:rsidRDefault="00FD3B8A" w:rsidP="00FD3B8A">
      <w:pPr>
        <w:spacing w:before="40" w:after="40"/>
        <w:rPr>
          <w:rFonts w:eastAsia="ヒラギノ角ゴ Pro W3" w:cs="Calibri"/>
          <w:iCs/>
          <w:lang w:val="en-GB"/>
        </w:rPr>
      </w:pPr>
      <w:r w:rsidRPr="00E91572">
        <w:rPr>
          <w:rFonts w:eastAsia="ヒラギノ角ゴ Pro W3" w:cs="Calibri"/>
          <w:iCs/>
          <w:lang w:val="en-GB"/>
        </w:rPr>
        <w:t>In a change from the previous years of reporting, auctioning volumes of both EUAs and EUAAs will no longer be further redistributed and only the auction sales that have been concluded will now be referred to in the data viewer. Given that the MSR will start operation in 2019, the decision has been taken to only refer to auction sales that have been concluded so that the information provided in the data viewer is aligned to future publications by the Commission on the total number of allowances in circulation, which is a key parameter influencing the operation of the MSR. The tables below summarise auctioned or sold amounts of EUAs and EUAAs for the years 2012 to 201</w:t>
      </w:r>
      <w:r>
        <w:rPr>
          <w:rFonts w:eastAsia="ヒラギノ角ゴ Pro W3" w:cs="Calibri"/>
          <w:iCs/>
          <w:lang w:val="en-GB"/>
        </w:rPr>
        <w:t>9</w:t>
      </w:r>
      <w:r w:rsidRPr="00E91572">
        <w:rPr>
          <w:rFonts w:eastAsia="ヒラギノ角ゴ Pro W3" w:cs="Calibri"/>
          <w:iCs/>
          <w:lang w:val="en-GB"/>
        </w:rPr>
        <w:t>.</w:t>
      </w:r>
    </w:p>
    <w:p w14:paraId="5CB0F25F" w14:textId="523D6E24" w:rsidR="00FD3B8A" w:rsidRDefault="00FD3B8A">
      <w:pPr>
        <w:jc w:val="left"/>
        <w:rPr>
          <w:rFonts w:eastAsia="ヒラギノ角ゴ Pro W3" w:cs="Calibri"/>
          <w:iCs/>
          <w:lang w:val="en-GB"/>
        </w:rPr>
      </w:pPr>
      <w:r>
        <w:rPr>
          <w:rFonts w:eastAsia="ヒラギノ角ゴ Pro W3" w:cs="Calibri"/>
          <w:iCs/>
          <w:lang w:val="en-GB"/>
        </w:rPr>
        <w:br w:type="page"/>
      </w:r>
    </w:p>
    <w:p w14:paraId="23FB1D54" w14:textId="5AC49214" w:rsidR="00FD3B8A" w:rsidRDefault="00FD3B8A" w:rsidP="00D7271E">
      <w:pPr>
        <w:pStyle w:val="Caption"/>
      </w:pPr>
      <w:r w:rsidRPr="006F6984">
        <w:lastRenderedPageBreak/>
        <w:t>Table 1</w:t>
      </w:r>
      <w:r>
        <w:t>2</w:t>
      </w:r>
      <w:r w:rsidRPr="006F6984">
        <w:noBreakHyphen/>
      </w:r>
      <w:r>
        <w:t>2 Auctions concluded (2012 - 2020) (Mio. EUAs)</w:t>
      </w:r>
    </w:p>
    <w:p w14:paraId="42B35B1B" w14:textId="15820EA4" w:rsidR="00FD3B8A" w:rsidRDefault="00BD73D1" w:rsidP="00FD3B8A">
      <w:pPr>
        <w:spacing w:before="40" w:after="40"/>
        <w:rPr>
          <w:rFonts w:eastAsia="ヒラギノ角ゴ Pro W3" w:cs="Calibri"/>
          <w:iCs/>
          <w:lang w:val="en-GB"/>
        </w:rPr>
      </w:pPr>
      <w:r w:rsidRPr="00364CA7">
        <w:rPr>
          <w:noProof/>
          <w:lang w:val="en-GB" w:eastAsia="en-GB"/>
        </w:rPr>
        <w:drawing>
          <wp:inline distT="0" distB="0" distL="0" distR="0" wp14:anchorId="540DFB44" wp14:editId="1FBFA0A1">
            <wp:extent cx="5972810" cy="4180840"/>
            <wp:effectExtent l="0" t="0" r="889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810" cy="4180840"/>
                    </a:xfrm>
                    <a:prstGeom prst="rect">
                      <a:avLst/>
                    </a:prstGeom>
                    <a:noFill/>
                    <a:ln>
                      <a:noFill/>
                    </a:ln>
                  </pic:spPr>
                </pic:pic>
              </a:graphicData>
            </a:graphic>
          </wp:inline>
        </w:drawing>
      </w:r>
    </w:p>
    <w:p w14:paraId="39786E5D" w14:textId="054C10E7" w:rsidR="00AE7893" w:rsidRDefault="00AE7893">
      <w:pPr>
        <w:jc w:val="left"/>
        <w:rPr>
          <w:rFonts w:eastAsia="ヒラギノ角ゴ Pro W3" w:cs="Calibri"/>
          <w:iCs/>
          <w:lang w:val="en-GB"/>
        </w:rPr>
      </w:pPr>
      <w:r>
        <w:rPr>
          <w:rFonts w:eastAsia="ヒラギノ角ゴ Pro W3" w:cs="Calibri"/>
          <w:iCs/>
          <w:lang w:val="en-GB"/>
        </w:rPr>
        <w:br w:type="page"/>
      </w:r>
    </w:p>
    <w:p w14:paraId="31E2B57C" w14:textId="30F17E4A" w:rsidR="00BD73D1" w:rsidRDefault="00FD3B8A" w:rsidP="00D7271E">
      <w:pPr>
        <w:pStyle w:val="Caption"/>
      </w:pPr>
      <w:r w:rsidRPr="006F6984">
        <w:lastRenderedPageBreak/>
        <w:t>Table 1</w:t>
      </w:r>
      <w:r>
        <w:t>2</w:t>
      </w:r>
      <w:r w:rsidRPr="006F6984">
        <w:noBreakHyphen/>
      </w:r>
      <w:r>
        <w:t>3</w:t>
      </w:r>
      <w:r w:rsidR="00BD73D1">
        <w:t>Auctions of aviation allowances concluded (2012 - 2020) (Mio. EUAAs)</w:t>
      </w:r>
    </w:p>
    <w:p w14:paraId="5949DD96" w14:textId="242EE25F" w:rsidR="00FD3B8A" w:rsidRDefault="00BD73D1" w:rsidP="00FD3B8A">
      <w:pPr>
        <w:spacing w:before="40" w:after="40"/>
        <w:rPr>
          <w:rFonts w:eastAsia="ヒラギノ角ゴ Pro W3" w:cs="Calibri"/>
          <w:iCs/>
          <w:lang w:val="en-GB"/>
        </w:rPr>
      </w:pPr>
      <w:r w:rsidRPr="00364CA7">
        <w:rPr>
          <w:noProof/>
          <w:lang w:val="en-GB" w:eastAsia="en-GB"/>
        </w:rPr>
        <w:drawing>
          <wp:inline distT="0" distB="0" distL="0" distR="0" wp14:anchorId="35AF0AAA" wp14:editId="307ABD3C">
            <wp:extent cx="5972810" cy="4097655"/>
            <wp:effectExtent l="0" t="0" r="889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810" cy="4097655"/>
                    </a:xfrm>
                    <a:prstGeom prst="rect">
                      <a:avLst/>
                    </a:prstGeom>
                    <a:noFill/>
                    <a:ln>
                      <a:noFill/>
                    </a:ln>
                  </pic:spPr>
                </pic:pic>
              </a:graphicData>
            </a:graphic>
          </wp:inline>
        </w:drawing>
      </w:r>
    </w:p>
    <w:p w14:paraId="46317692" w14:textId="3AE8BFB3" w:rsidR="00BD73D1" w:rsidRDefault="00BD73D1">
      <w:pPr>
        <w:jc w:val="left"/>
        <w:rPr>
          <w:rFonts w:eastAsia="ヒラギノ角ゴ Pro W3" w:cs="Calibri"/>
          <w:iCs/>
          <w:lang w:val="en-GB"/>
        </w:rPr>
      </w:pPr>
      <w:r>
        <w:rPr>
          <w:rFonts w:eastAsia="ヒラギノ角ゴ Pro W3" w:cs="Calibri"/>
          <w:iCs/>
          <w:lang w:val="en-GB"/>
        </w:rPr>
        <w:br w:type="page"/>
      </w:r>
    </w:p>
    <w:p w14:paraId="265D88C9" w14:textId="245295DB" w:rsidR="00BD73D1" w:rsidRDefault="00BD73D1" w:rsidP="00AE7893">
      <w:pPr>
        <w:pStyle w:val="Heading1"/>
      </w:pPr>
      <w:bookmarkStart w:id="35" w:name="_Toc97126245"/>
      <w:r>
        <w:lastRenderedPageBreak/>
        <w:t>1</w:t>
      </w:r>
      <w:r w:rsidR="001E646C">
        <w:t>3</w:t>
      </w:r>
      <w:r>
        <w:t xml:space="preserve"> Annex I</w:t>
      </w:r>
      <w:r w:rsidR="002950C9">
        <w:t>I</w:t>
      </w:r>
      <w:r>
        <w:t xml:space="preserve">I </w:t>
      </w:r>
      <w:r w:rsidR="002950C9">
        <w:t>Estimates to reflect current ETS scope for stationary installations</w:t>
      </w:r>
      <w:bookmarkEnd w:id="35"/>
    </w:p>
    <w:p w14:paraId="510B5D89" w14:textId="77777777" w:rsidR="003F155B" w:rsidRDefault="003F155B" w:rsidP="003F155B">
      <w:pPr>
        <w:spacing w:before="40" w:after="40"/>
        <w:rPr>
          <w:rFonts w:eastAsia="ヒラギノ角ゴ Pro W3" w:cs="Calibri"/>
          <w:iCs/>
          <w:lang w:val="en-GB"/>
        </w:rPr>
      </w:pPr>
    </w:p>
    <w:p w14:paraId="4A082464" w14:textId="5ACBA1CF" w:rsidR="003F155B" w:rsidRPr="00E91572" w:rsidRDefault="003F155B" w:rsidP="003F155B">
      <w:pPr>
        <w:spacing w:before="40" w:after="40"/>
        <w:rPr>
          <w:rFonts w:eastAsia="ヒラギノ角ゴ Pro W3" w:cs="Calibri"/>
          <w:iCs/>
          <w:lang w:val="en-GB"/>
        </w:rPr>
      </w:pPr>
      <w:r w:rsidRPr="00E91572">
        <w:rPr>
          <w:rFonts w:eastAsia="ヒラギノ角ゴ Pro W3" w:cs="Calibri"/>
          <w:iCs/>
          <w:lang w:val="en-GB"/>
        </w:rPr>
        <w:t>The EU ETS started in 2005 covering only CO</w:t>
      </w:r>
      <w:r w:rsidRPr="00E91572">
        <w:rPr>
          <w:rFonts w:eastAsia="ヒラギノ角ゴ Pro W3" w:cs="Calibri"/>
          <w:iCs/>
          <w:vertAlign w:val="subscript"/>
          <w:lang w:val="en-GB"/>
        </w:rPr>
        <w:t>2</w:t>
      </w:r>
      <w:r w:rsidRPr="00E91572">
        <w:rPr>
          <w:rFonts w:eastAsia="ヒラギノ角ゴ Pro W3" w:cs="Calibri"/>
          <w:iCs/>
          <w:lang w:val="en-GB"/>
        </w:rPr>
        <w:t xml:space="preserve"> emissions from the EU-25 countries. In 2007, Bulgaria and Romania joined the EU and its ETS. Installations from Liechtenstein and Norway entered the scheme at the start of the second trading period in 2008. At the same time, additional installations from already participating countries started to be covered by the scheme, due to the end of opt-outs and to the clarification of the definition of combustion installations. At the start of the third trading period in 2013, stationary installations from Croatia and Iceland started to be covered by the EU ETS. At the same time, a range of new activities (and gases) were included, in particular N</w:t>
      </w:r>
      <w:r w:rsidRPr="00E91572">
        <w:rPr>
          <w:rFonts w:eastAsia="ヒラギノ角ゴ Pro W3" w:cs="Calibri"/>
          <w:iCs/>
          <w:vertAlign w:val="subscript"/>
          <w:lang w:val="en-GB"/>
        </w:rPr>
        <w:t>2</w:t>
      </w:r>
      <w:r w:rsidRPr="00E91572">
        <w:rPr>
          <w:rFonts w:eastAsia="ヒラギノ角ゴ Pro W3" w:cs="Calibri"/>
          <w:iCs/>
          <w:lang w:val="en-GB"/>
        </w:rPr>
        <w:t>O emissions from the production of nitric and adipic acid, glyoxal and glyoxylic acid and PFC emissions from the production of aluminium.</w:t>
      </w:r>
    </w:p>
    <w:p w14:paraId="0E0EF75E" w14:textId="1A5F3E97" w:rsidR="00FD3B8A" w:rsidRDefault="00FD3B8A" w:rsidP="00FD3B8A">
      <w:pPr>
        <w:spacing w:before="40" w:after="40"/>
        <w:rPr>
          <w:rFonts w:eastAsia="ヒラギノ角ゴ Pro W3" w:cs="Calibri"/>
          <w:iCs/>
          <w:lang w:val="en-GB"/>
        </w:rPr>
      </w:pPr>
    </w:p>
    <w:p w14:paraId="7DD224F5" w14:textId="3C8FB569" w:rsidR="00D16215" w:rsidRDefault="00D16215" w:rsidP="00D7271E">
      <w:pPr>
        <w:pStyle w:val="Caption"/>
      </w:pPr>
      <w:r>
        <w:t>Figure</w:t>
      </w:r>
      <w:r w:rsidRPr="006F6984">
        <w:t xml:space="preserve"> 1</w:t>
      </w:r>
      <w:r>
        <w:t>3</w:t>
      </w:r>
      <w:r w:rsidRPr="006F6984">
        <w:noBreakHyphen/>
      </w:r>
      <w:r>
        <w:t>3 Scope of the EU ETS since 2005</w:t>
      </w:r>
    </w:p>
    <w:p w14:paraId="52F0E01A" w14:textId="61E9E4A4" w:rsidR="00D16215" w:rsidRDefault="004E4053" w:rsidP="00FD3B8A">
      <w:pPr>
        <w:spacing w:before="40" w:after="40"/>
        <w:rPr>
          <w:rFonts w:eastAsia="ヒラギノ角ゴ Pro W3" w:cs="Calibri"/>
          <w:iCs/>
          <w:lang w:val="en-GB"/>
        </w:rPr>
      </w:pPr>
      <w:r w:rsidRPr="00E91572">
        <w:rPr>
          <w:rFonts w:ascii="Open Sans" w:eastAsia="ヒラギノ角ゴ Pro W3" w:hAnsi="Open Sans" w:cs="Times New Roman"/>
          <w:iCs/>
          <w:noProof/>
          <w:sz w:val="20"/>
          <w:lang w:val="en-GB" w:eastAsia="en-GB"/>
        </w:rPr>
        <w:drawing>
          <wp:inline distT="0" distB="0" distL="0" distR="0" wp14:anchorId="6BC9BD2A" wp14:editId="356ADCB5">
            <wp:extent cx="5400040" cy="3117980"/>
            <wp:effectExtent l="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3117980"/>
                    </a:xfrm>
                    <a:prstGeom prst="rect">
                      <a:avLst/>
                    </a:prstGeom>
                    <a:noFill/>
                    <a:ln>
                      <a:noFill/>
                    </a:ln>
                  </pic:spPr>
                </pic:pic>
              </a:graphicData>
            </a:graphic>
          </wp:inline>
        </w:drawing>
      </w:r>
    </w:p>
    <w:p w14:paraId="4B3A13E2" w14:textId="77777777" w:rsidR="00503ADF" w:rsidRPr="00E91572" w:rsidRDefault="00503ADF" w:rsidP="00503ADF">
      <w:pPr>
        <w:spacing w:before="40" w:after="40"/>
        <w:rPr>
          <w:rFonts w:eastAsia="ヒラギノ角ゴ Pro W3" w:cs="Calibri"/>
          <w:iCs/>
          <w:lang w:val="en-GB"/>
        </w:rPr>
      </w:pPr>
      <w:r w:rsidRPr="00E91572">
        <w:rPr>
          <w:rFonts w:eastAsia="ヒラギノ角ゴ Pro W3" w:cs="Calibri"/>
          <w:iCs/>
          <w:lang w:val="en-GB"/>
        </w:rPr>
        <w:t xml:space="preserve">To reflect these changes in scope, six types of estimates were applied to ETS verified emissions in order to derive a time-series for stationary installations starting from 2005 consistent with the scope of the third trading period (see </w:t>
      </w:r>
      <w:r w:rsidRPr="00E91572">
        <w:rPr>
          <w:rFonts w:eastAsia="ヒラギノ角ゴ Pro W3" w:cs="Calibri"/>
          <w:iCs/>
          <w:szCs w:val="22"/>
          <w:lang w:val="en-GB"/>
        </w:rPr>
        <w:fldChar w:fldCharType="begin"/>
      </w:r>
      <w:r w:rsidRPr="00E91572">
        <w:rPr>
          <w:rFonts w:eastAsia="ヒラギノ角ゴ Pro W3" w:cs="Calibri"/>
          <w:iCs/>
          <w:lang w:val="en-GB"/>
        </w:rPr>
        <w:instrText xml:space="preserve"> REF _Ref7697331 \h </w:instrText>
      </w:r>
      <w:r w:rsidRPr="00E91572">
        <w:rPr>
          <w:rFonts w:eastAsia="ヒラギノ角ゴ Pro W3" w:cs="Calibri"/>
          <w:iCs/>
          <w:szCs w:val="22"/>
          <w:lang w:val="en-GB"/>
        </w:rPr>
        <w:instrText xml:space="preserve"> \* MERGEFORMAT </w:instrText>
      </w:r>
      <w:r w:rsidRPr="00E91572">
        <w:rPr>
          <w:rFonts w:eastAsia="ヒラギノ角ゴ Pro W3" w:cs="Calibri"/>
          <w:iCs/>
          <w:szCs w:val="22"/>
          <w:lang w:val="en-GB"/>
        </w:rPr>
      </w:r>
      <w:r w:rsidRPr="00E91572">
        <w:rPr>
          <w:rFonts w:eastAsia="ヒラギノ角ゴ Pro W3" w:cs="Calibri"/>
          <w:iCs/>
          <w:szCs w:val="22"/>
          <w:lang w:val="en-GB"/>
        </w:rPr>
        <w:fldChar w:fldCharType="separate"/>
      </w:r>
      <w:r w:rsidRPr="00E91572">
        <w:rPr>
          <w:rStyle w:val="Strong"/>
        </w:rPr>
        <w:t xml:space="preserve">Figure </w:t>
      </w:r>
      <w:r>
        <w:rPr>
          <w:rStyle w:val="Strong"/>
          <w:noProof/>
        </w:rPr>
        <w:t>13</w:t>
      </w:r>
      <w:r w:rsidRPr="00E91572">
        <w:rPr>
          <w:rStyle w:val="Strong"/>
          <w:noProof/>
        </w:rPr>
        <w:noBreakHyphen/>
      </w:r>
      <w:r>
        <w:rPr>
          <w:rStyle w:val="Strong"/>
          <w:noProof/>
        </w:rPr>
        <w:t>1</w:t>
      </w:r>
      <w:r w:rsidRPr="00E91572">
        <w:rPr>
          <w:rFonts w:eastAsia="ヒラギノ角ゴ Pro W3" w:cs="Calibri"/>
          <w:iCs/>
          <w:szCs w:val="22"/>
          <w:lang w:val="en-GB"/>
        </w:rPr>
        <w:fldChar w:fldCharType="end"/>
      </w:r>
      <w:r w:rsidRPr="00E91572">
        <w:rPr>
          <w:rFonts w:eastAsia="ヒラギノ角ゴ Pro W3" w:cs="Calibri"/>
          <w:iCs/>
          <w:lang w:val="en-GB"/>
        </w:rPr>
        <w:t xml:space="preserve">). </w:t>
      </w:r>
    </w:p>
    <w:p w14:paraId="0E19A46A" w14:textId="77777777" w:rsidR="00503ADF" w:rsidRPr="00E91572" w:rsidRDefault="00503ADF" w:rsidP="00503ADF">
      <w:pPr>
        <w:spacing w:before="40" w:after="40"/>
        <w:rPr>
          <w:rFonts w:eastAsia="ヒラギノ角ゴ Pro W3" w:cs="Calibri"/>
          <w:iCs/>
          <w:lang w:val="en-GB"/>
        </w:rPr>
      </w:pPr>
      <w:r w:rsidRPr="00E91572">
        <w:rPr>
          <w:rFonts w:eastAsia="ヒラギノ角ゴ Pro W3" w:cs="Calibri"/>
          <w:iCs/>
          <w:lang w:val="en-GB"/>
        </w:rPr>
        <w:t>Estimates to reflect the scope of the second trading period:</w:t>
      </w:r>
    </w:p>
    <w:p w14:paraId="08C52BC9" w14:textId="77777777" w:rsidR="00503ADF" w:rsidRPr="00E91572" w:rsidRDefault="00503ADF" w:rsidP="00503ADF">
      <w:pPr>
        <w:numPr>
          <w:ilvl w:val="0"/>
          <w:numId w:val="8"/>
        </w:numPr>
        <w:spacing w:before="40" w:after="40"/>
        <w:rPr>
          <w:rFonts w:eastAsia="ヒラギノ角ゴ Pro W3" w:cs="Calibri"/>
          <w:iCs/>
          <w:lang w:val="en-GB"/>
        </w:rPr>
      </w:pPr>
      <w:r w:rsidRPr="00E91572">
        <w:rPr>
          <w:rFonts w:eastAsia="ヒラギノ角ゴ Pro W3" w:cs="Calibri"/>
          <w:iCs/>
          <w:lang w:val="en-GB"/>
        </w:rPr>
        <w:t xml:space="preserve">An estimate for Bulgaria and Romania entering the EU ETS. This is relevant in 2005 and 2006 and was calculated using inventory emissions and EUTL verified emissions for these countries in 2007-2009. </w:t>
      </w:r>
    </w:p>
    <w:p w14:paraId="0F2D771E" w14:textId="77777777" w:rsidR="00503ADF" w:rsidRPr="00E91572" w:rsidRDefault="00503ADF" w:rsidP="00503ADF">
      <w:pPr>
        <w:numPr>
          <w:ilvl w:val="0"/>
          <w:numId w:val="8"/>
        </w:numPr>
        <w:spacing w:before="40" w:after="40"/>
        <w:rPr>
          <w:rFonts w:eastAsia="ヒラギノ角ゴ Pro W3" w:cs="Calibri"/>
          <w:iCs/>
          <w:lang w:val="en-GB"/>
        </w:rPr>
      </w:pPr>
      <w:r w:rsidRPr="00E91572">
        <w:rPr>
          <w:rFonts w:eastAsia="ヒラギノ角ゴ Pro W3" w:cs="Calibri"/>
          <w:iCs/>
          <w:lang w:val="en-GB"/>
        </w:rPr>
        <w:t xml:space="preserve">An estimate for Liechtenstein and Norway entering in 2008. Their historical emissions in 2005 were taken from the respective NAP and combined with 2008 verified emissions from the EUTL. </w:t>
      </w:r>
    </w:p>
    <w:p w14:paraId="5E3F7D1C" w14:textId="77777777" w:rsidR="00503ADF" w:rsidRPr="00E91572" w:rsidRDefault="00503ADF" w:rsidP="00503ADF">
      <w:pPr>
        <w:numPr>
          <w:ilvl w:val="0"/>
          <w:numId w:val="8"/>
        </w:numPr>
        <w:spacing w:before="40" w:after="40"/>
        <w:rPr>
          <w:rFonts w:eastAsia="ヒラギノ角ゴ Pro W3" w:cs="Calibri"/>
          <w:iCs/>
          <w:lang w:val="en-GB"/>
        </w:rPr>
      </w:pPr>
      <w:r w:rsidRPr="00E91572">
        <w:rPr>
          <w:rFonts w:eastAsia="ヒラギノ角ゴ Pro W3" w:cs="Calibri"/>
          <w:iCs/>
          <w:lang w:val="en-GB"/>
        </w:rPr>
        <w:t>An estimate for changes in scope between the first and second trading period related to opt-outs and the clarification of the definition of combustion installations. This estimate was performed using information stemming from the process to determine annual allocation allowances (AEAs) under the ESD.</w:t>
      </w:r>
    </w:p>
    <w:p w14:paraId="44AF7263" w14:textId="77777777" w:rsidR="00503ADF" w:rsidRPr="00E91572" w:rsidRDefault="00503ADF" w:rsidP="00503ADF">
      <w:pPr>
        <w:rPr>
          <w:rFonts w:eastAsia="ヒラギノ角ゴ Pro W3" w:cs="Calibri"/>
          <w:iCs/>
          <w:lang w:val="en-GB"/>
        </w:rPr>
      </w:pPr>
      <w:r w:rsidRPr="00E91572">
        <w:rPr>
          <w:rFonts w:eastAsia="ヒラギノ角ゴ Pro W3" w:cs="Calibri"/>
          <w:iCs/>
          <w:lang w:val="en-GB"/>
        </w:rPr>
        <w:t xml:space="preserve">Estimates to reflect the scope of the third trading period: </w:t>
      </w:r>
    </w:p>
    <w:p w14:paraId="19C42A4A" w14:textId="77777777" w:rsidR="00503ADF" w:rsidRPr="00E91572" w:rsidRDefault="00503ADF" w:rsidP="00503ADF">
      <w:pPr>
        <w:numPr>
          <w:ilvl w:val="1"/>
          <w:numId w:val="8"/>
        </w:numPr>
        <w:spacing w:before="40" w:after="40"/>
        <w:rPr>
          <w:rFonts w:eastAsia="ヒラギノ角ゴ Pro W3" w:cs="Calibri"/>
          <w:iCs/>
          <w:lang w:val="en-GB"/>
        </w:rPr>
      </w:pPr>
      <w:r w:rsidRPr="00E91572">
        <w:rPr>
          <w:rFonts w:eastAsia="ヒラギノ角ゴ Pro W3" w:cs="Calibri"/>
          <w:iCs/>
          <w:lang w:val="en-GB"/>
        </w:rPr>
        <w:t xml:space="preserve">An estimate for Croatia entering the EU ETS in 2013. Data stemming from the process to determine annual allocation allowances (AEAs) under the ESD was used to estimate for Croatia’s emissions in 2005–2012, combined with 2013 verified emissions data and inventory emission trends for this country. </w:t>
      </w:r>
    </w:p>
    <w:p w14:paraId="1597290F" w14:textId="77777777" w:rsidR="00503ADF" w:rsidRPr="00E91572" w:rsidRDefault="00503ADF" w:rsidP="00503ADF">
      <w:pPr>
        <w:numPr>
          <w:ilvl w:val="1"/>
          <w:numId w:val="8"/>
        </w:numPr>
        <w:spacing w:before="40" w:after="40"/>
        <w:rPr>
          <w:rFonts w:eastAsia="ヒラギノ角ゴ Pro W3" w:cs="Calibri"/>
          <w:iCs/>
          <w:lang w:val="en-GB"/>
        </w:rPr>
      </w:pPr>
      <w:r w:rsidRPr="00E91572">
        <w:rPr>
          <w:rFonts w:eastAsia="ヒラギノ角ゴ Pro W3" w:cs="Calibri"/>
          <w:iCs/>
          <w:lang w:val="en-GB"/>
        </w:rPr>
        <w:t>An estimate for non-CO</w:t>
      </w:r>
      <w:r w:rsidRPr="00E91572">
        <w:rPr>
          <w:rFonts w:eastAsia="ヒラギノ角ゴ Pro W3" w:cs="Calibri"/>
          <w:iCs/>
          <w:vertAlign w:val="subscript"/>
          <w:lang w:val="en-GB"/>
        </w:rPr>
        <w:t>2</w:t>
      </w:r>
      <w:r w:rsidRPr="00E91572">
        <w:rPr>
          <w:rFonts w:eastAsia="ヒラギノ角ゴ Pro W3" w:cs="Calibri"/>
          <w:iCs/>
          <w:lang w:val="en-GB"/>
        </w:rPr>
        <w:t xml:space="preserve"> gases entering in 2013. For this purpose, historic emissions in the relevant source categories were taken from GHG inventories and converted to CO</w:t>
      </w:r>
      <w:r w:rsidRPr="00E91572">
        <w:rPr>
          <w:rFonts w:eastAsia="ヒラギノ角ゴ Pro W3" w:cs="Calibri"/>
          <w:iCs/>
          <w:vertAlign w:val="subscript"/>
          <w:lang w:val="en-GB"/>
        </w:rPr>
        <w:t>2</w:t>
      </w:r>
      <w:r w:rsidRPr="00E91572">
        <w:rPr>
          <w:rFonts w:eastAsia="ヒラギノ角ゴ Pro W3" w:cs="Calibri"/>
          <w:iCs/>
          <w:lang w:val="en-GB"/>
        </w:rPr>
        <w:t xml:space="preserve"> equivalent units. </w:t>
      </w:r>
    </w:p>
    <w:p w14:paraId="630EE58F" w14:textId="77777777" w:rsidR="00503ADF" w:rsidRPr="00E91572" w:rsidRDefault="00503ADF" w:rsidP="00503ADF">
      <w:pPr>
        <w:numPr>
          <w:ilvl w:val="1"/>
          <w:numId w:val="8"/>
        </w:numPr>
        <w:spacing w:before="40" w:after="40"/>
        <w:rPr>
          <w:rFonts w:eastAsia="ヒラギノ角ゴ Pro W3" w:cs="Calibri"/>
          <w:iCs/>
          <w:lang w:val="en-GB"/>
        </w:rPr>
      </w:pPr>
      <w:r w:rsidRPr="00E91572">
        <w:rPr>
          <w:rFonts w:eastAsia="ヒラギノ角ゴ Pro W3" w:cs="Calibri"/>
          <w:iCs/>
          <w:lang w:val="en-GB"/>
        </w:rPr>
        <w:t>An estimate for CO</w:t>
      </w:r>
      <w:r w:rsidRPr="00E91572">
        <w:rPr>
          <w:rFonts w:eastAsia="ヒラギノ角ゴ Pro W3" w:cs="Calibri"/>
          <w:iCs/>
          <w:vertAlign w:val="subscript"/>
          <w:lang w:val="en-GB"/>
        </w:rPr>
        <w:t>2</w:t>
      </w:r>
      <w:r w:rsidRPr="00E91572">
        <w:rPr>
          <w:rFonts w:eastAsia="ヒラギノ角ゴ Pro W3" w:cs="Calibri"/>
          <w:iCs/>
          <w:lang w:val="en-GB"/>
        </w:rPr>
        <w:t xml:space="preserve"> emissions of installations which fell into the scope of the EU ETS from 2013 onwards. </w:t>
      </w:r>
    </w:p>
    <w:p w14:paraId="4D89993B" w14:textId="77777777" w:rsidR="00503ADF" w:rsidRPr="00E91572" w:rsidRDefault="00503ADF" w:rsidP="00503ADF">
      <w:pPr>
        <w:numPr>
          <w:ilvl w:val="1"/>
          <w:numId w:val="8"/>
        </w:numPr>
        <w:spacing w:before="40" w:after="40"/>
        <w:rPr>
          <w:rFonts w:eastAsia="ヒラギノ角ゴ Pro W3" w:cs="Calibri"/>
          <w:iCs/>
          <w:lang w:val="en-GB"/>
        </w:rPr>
      </w:pPr>
      <w:r w:rsidRPr="00E91572">
        <w:rPr>
          <w:rFonts w:eastAsia="ヒラギノ角ゴ Pro W3" w:cs="Calibri"/>
          <w:iCs/>
          <w:lang w:val="en-GB"/>
        </w:rPr>
        <w:t xml:space="preserve">Two countries, Norway and Slovenia, have provided the authors with bottom-up calculated figures to reflect current ETS scope. These are considered to be more accurate than any top-down approach can be and are thus used in further work of the EEA and the EEA EU ETS data viewer. </w:t>
      </w:r>
    </w:p>
    <w:p w14:paraId="32C8570F" w14:textId="77777777" w:rsidR="00503ADF" w:rsidRPr="00E91572" w:rsidRDefault="00503ADF" w:rsidP="00503ADF">
      <w:pPr>
        <w:spacing w:before="40" w:after="40"/>
        <w:rPr>
          <w:rFonts w:eastAsia="ヒラギノ角ゴ Pro W3" w:cs="Calibri"/>
          <w:iCs/>
          <w:lang w:val="en-GB"/>
        </w:rPr>
      </w:pPr>
      <w:r w:rsidRPr="00E91572">
        <w:rPr>
          <w:rFonts w:eastAsia="ヒラギノ角ゴ Pro W3" w:cs="Calibri"/>
          <w:iCs/>
          <w:lang w:val="en-GB"/>
        </w:rPr>
        <w:t xml:space="preserve">The estimates to reflect current scope (see </w:t>
      </w:r>
      <w:r w:rsidRPr="00E91572">
        <w:rPr>
          <w:rFonts w:eastAsia="ヒラギノ角ゴ Pro W3" w:cs="Calibri"/>
          <w:iCs/>
          <w:szCs w:val="22"/>
          <w:lang w:val="en-GB"/>
        </w:rPr>
        <w:fldChar w:fldCharType="begin"/>
      </w:r>
      <w:r w:rsidRPr="00E91572">
        <w:rPr>
          <w:rFonts w:eastAsia="ヒラギノ角ゴ Pro W3" w:cs="Calibri"/>
          <w:iCs/>
          <w:lang w:val="en-GB"/>
        </w:rPr>
        <w:instrText xml:space="preserve"> REF _Ref7700302 \h </w:instrText>
      </w:r>
      <w:r w:rsidRPr="00E91572">
        <w:rPr>
          <w:rFonts w:eastAsia="ヒラギノ角ゴ Pro W3" w:cs="Calibri"/>
          <w:iCs/>
          <w:szCs w:val="22"/>
          <w:lang w:val="en-GB"/>
        </w:rPr>
        <w:instrText xml:space="preserve"> \* MERGEFORMAT </w:instrText>
      </w:r>
      <w:r w:rsidRPr="00E91572">
        <w:rPr>
          <w:rFonts w:eastAsia="ヒラギノ角ゴ Pro W3" w:cs="Calibri"/>
          <w:iCs/>
          <w:szCs w:val="22"/>
          <w:lang w:val="en-GB"/>
        </w:rPr>
      </w:r>
      <w:r w:rsidRPr="00E91572">
        <w:rPr>
          <w:rFonts w:eastAsia="ヒラギノ角ゴ Pro W3" w:cs="Calibri"/>
          <w:iCs/>
          <w:szCs w:val="22"/>
          <w:lang w:val="en-GB"/>
        </w:rPr>
        <w:fldChar w:fldCharType="separate"/>
      </w:r>
      <w:r w:rsidRPr="00E91572">
        <w:rPr>
          <w:rStyle w:val="Strong"/>
          <w:lang w:val="en-GB"/>
        </w:rPr>
        <w:t>Table</w:t>
      </w:r>
      <w:r w:rsidRPr="00E91572">
        <w:rPr>
          <w:rStyle w:val="Strong"/>
        </w:rPr>
        <w:t xml:space="preserve"> </w:t>
      </w:r>
      <w:r>
        <w:rPr>
          <w:rFonts w:asciiTheme="majorHAnsi" w:eastAsia="ヒラギノ角ゴ Pro W3" w:hAnsiTheme="majorHAnsi" w:cs="Calibri"/>
          <w:b/>
          <w:noProof/>
          <w:szCs w:val="22"/>
        </w:rPr>
        <w:t>13</w:t>
      </w:r>
      <w:r w:rsidRPr="00E91572">
        <w:rPr>
          <w:rFonts w:asciiTheme="majorHAnsi" w:eastAsia="ヒラギノ角ゴ Pro W3" w:hAnsiTheme="majorHAnsi" w:cs="Calibri"/>
          <w:b/>
          <w:noProof/>
          <w:szCs w:val="22"/>
        </w:rPr>
        <w:noBreakHyphen/>
      </w:r>
      <w:r>
        <w:rPr>
          <w:rFonts w:asciiTheme="majorHAnsi" w:eastAsia="ヒラギノ角ゴ Pro W3" w:hAnsiTheme="majorHAnsi" w:cs="Calibri"/>
          <w:b/>
          <w:noProof/>
          <w:szCs w:val="22"/>
        </w:rPr>
        <w:t>1</w:t>
      </w:r>
      <w:r w:rsidRPr="00E91572">
        <w:rPr>
          <w:rFonts w:eastAsia="ヒラギノ角ゴ Pro W3" w:cs="Calibri"/>
          <w:iCs/>
          <w:szCs w:val="22"/>
          <w:lang w:val="en-GB"/>
        </w:rPr>
        <w:fldChar w:fldCharType="end"/>
      </w:r>
      <w:r w:rsidRPr="00E91572">
        <w:rPr>
          <w:rFonts w:eastAsia="ヒラギノ角ゴ Pro W3" w:cs="Calibri"/>
          <w:iCs/>
          <w:lang w:val="en-GB"/>
        </w:rPr>
        <w:t>) is applied both to verified emissions and allocated allowances. It does not address changes related to the inclusion or exclusion of individual installations within trading periods (e.g. new entrants and closures). No estimate was quantified for aviation.</w:t>
      </w:r>
    </w:p>
    <w:p w14:paraId="4AC0A022" w14:textId="77777777" w:rsidR="00503ADF" w:rsidRPr="00E91572" w:rsidRDefault="00503ADF" w:rsidP="00503ADF">
      <w:pPr>
        <w:spacing w:before="40" w:after="40"/>
        <w:rPr>
          <w:rFonts w:eastAsia="ヒラギノ角ゴ Pro W3" w:cs="Calibri"/>
          <w:iCs/>
          <w:lang w:val="en-GB"/>
        </w:rPr>
      </w:pPr>
      <w:r w:rsidRPr="00E91572">
        <w:rPr>
          <w:rFonts w:eastAsia="ヒラギノ角ゴ Pro W3" w:cs="Calibri"/>
          <w:iCs/>
          <w:lang w:val="en-GB"/>
        </w:rPr>
        <w:t>The methodology applied by EEA to quantify the estimates to reflect the current ETS scope by participating country is documented in detail in an ETC/ACM technical paper</w:t>
      </w:r>
      <w:r w:rsidRPr="00E91572">
        <w:rPr>
          <w:rFonts w:eastAsia="ヒラギノ角ゴ Pro W3" w:cs="Calibri"/>
          <w:iCs/>
          <w:vertAlign w:val="superscript"/>
          <w:lang w:val="en-GB"/>
        </w:rPr>
        <w:footnoteReference w:id="20"/>
      </w:r>
      <w:r w:rsidRPr="00E91572">
        <w:rPr>
          <w:rFonts w:eastAsia="ヒラギノ角ゴ Pro W3" w:cs="Calibri"/>
          <w:iCs/>
          <w:lang w:val="en-GB"/>
        </w:rPr>
        <w:t>.</w:t>
      </w:r>
    </w:p>
    <w:p w14:paraId="5ACC0F58" w14:textId="77777777" w:rsidR="00503ADF" w:rsidRPr="00364CA7" w:rsidRDefault="00503ADF" w:rsidP="00503ADF">
      <w:pPr>
        <w:pBdr>
          <w:top w:val="single" w:sz="4" w:space="1" w:color="auto"/>
          <w:left w:val="single" w:sz="4" w:space="4" w:color="auto"/>
          <w:bottom w:val="single" w:sz="4" w:space="1" w:color="auto"/>
          <w:right w:val="single" w:sz="4" w:space="4" w:color="auto"/>
        </w:pBdr>
        <w:rPr>
          <w:b/>
          <w:bCs/>
          <w:lang w:val="en-GB"/>
        </w:rPr>
      </w:pPr>
      <w:r w:rsidRPr="00364CA7">
        <w:rPr>
          <w:b/>
          <w:bCs/>
          <w:highlight w:val="yellow"/>
          <w:lang w:val="en-GB"/>
        </w:rPr>
        <w:t>This document and the resulting estimates to reflect the current ETS scope will be updated in 2021 to reflect latest decisions related to legislatively fixed Effort Sharing emissions 2005 and inventory changes.</w:t>
      </w:r>
      <w:r w:rsidRPr="00364CA7">
        <w:rPr>
          <w:b/>
          <w:bCs/>
          <w:lang w:val="en-GB"/>
        </w:rPr>
        <w:t xml:space="preserve"> </w:t>
      </w:r>
    </w:p>
    <w:p w14:paraId="61757863" w14:textId="77777777" w:rsidR="00503ADF" w:rsidRPr="00E91572" w:rsidRDefault="00503ADF" w:rsidP="00503ADF">
      <w:pPr>
        <w:rPr>
          <w:lang w:val="en-GB"/>
        </w:rPr>
      </w:pPr>
    </w:p>
    <w:p w14:paraId="72984A80" w14:textId="77777777" w:rsidR="00503ADF" w:rsidRPr="00E91572" w:rsidRDefault="00503ADF" w:rsidP="00503ADF">
      <w:pPr>
        <w:jc w:val="left"/>
        <w:rPr>
          <w:rFonts w:ascii="Open Sans" w:eastAsia="ヒラギノ角ゴ Pro W3" w:hAnsi="Open Sans" w:cs="Times New Roman"/>
          <w:color w:val="44546A"/>
          <w:sz w:val="18"/>
          <w:szCs w:val="18"/>
          <w:lang w:val="en-GB"/>
        </w:rPr>
      </w:pPr>
      <w:r w:rsidRPr="00E91572">
        <w:rPr>
          <w:rFonts w:ascii="Open Sans" w:eastAsia="ヒラギノ角ゴ Pro W3" w:hAnsi="Open Sans" w:cs="Times New Roman"/>
          <w:color w:val="44546A"/>
          <w:sz w:val="18"/>
          <w:szCs w:val="18"/>
          <w:lang w:val="en-GB"/>
        </w:rPr>
        <w:br w:type="page"/>
      </w:r>
    </w:p>
    <w:p w14:paraId="7C7DCF38" w14:textId="6CEFBA69" w:rsidR="00503ADF" w:rsidRDefault="00503ADF" w:rsidP="00D7271E">
      <w:pPr>
        <w:pStyle w:val="Caption"/>
      </w:pPr>
      <w:r>
        <w:t>Table</w:t>
      </w:r>
      <w:r w:rsidRPr="006F6984">
        <w:t xml:space="preserve"> 1</w:t>
      </w:r>
      <w:r>
        <w:t>3</w:t>
      </w:r>
      <w:r w:rsidRPr="006F6984">
        <w:noBreakHyphen/>
      </w:r>
      <w:r>
        <w:t>1</w:t>
      </w:r>
      <w:r>
        <w:tab/>
        <w:t>Estimates to reflect current ETS scope for stationary installations in the EU ETS data viewer</w:t>
      </w:r>
    </w:p>
    <w:p w14:paraId="354C6A86" w14:textId="5D754581" w:rsidR="00AC304A" w:rsidRDefault="00AC304A" w:rsidP="00D25E09">
      <w:pPr>
        <w:spacing w:before="40" w:after="40"/>
        <w:rPr>
          <w:rFonts w:eastAsia="ヒラギノ角ゴ Pro W3" w:cs="Calibri"/>
          <w:iCs/>
          <w:lang w:val="en-GB"/>
        </w:rPr>
      </w:pPr>
      <w:r w:rsidRPr="00E91572">
        <w:rPr>
          <w:rFonts w:ascii="Open Sans" w:eastAsia="ヒラギノ角ゴ Pro W3" w:hAnsi="Open Sans" w:cs="Times New Roman"/>
          <w:iCs/>
          <w:noProof/>
          <w:sz w:val="20"/>
          <w:lang w:val="en-GB" w:eastAsia="en-GB"/>
        </w:rPr>
        <w:drawing>
          <wp:inline distT="0" distB="0" distL="0" distR="0" wp14:anchorId="2021900D" wp14:editId="42A01153">
            <wp:extent cx="5400040" cy="6048400"/>
            <wp:effectExtent l="0" t="0" r="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6048400"/>
                    </a:xfrm>
                    <a:prstGeom prst="rect">
                      <a:avLst/>
                    </a:prstGeom>
                    <a:noFill/>
                    <a:ln>
                      <a:noFill/>
                    </a:ln>
                  </pic:spPr>
                </pic:pic>
              </a:graphicData>
            </a:graphic>
          </wp:inline>
        </w:drawing>
      </w:r>
      <w:bookmarkEnd w:id="33"/>
    </w:p>
    <w:sectPr w:rsidR="00AC304A" w:rsidSect="00CF7D9E">
      <w:pgSz w:w="11900" w:h="16840"/>
      <w:pgMar w:top="1247" w:right="1247" w:bottom="1247" w:left="1247" w:header="0" w:footer="5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E3F28" w14:textId="77777777" w:rsidR="00E005FA" w:rsidRDefault="00E005FA" w:rsidP="003E25FF">
      <w:r>
        <w:separator/>
      </w:r>
    </w:p>
  </w:endnote>
  <w:endnote w:type="continuationSeparator" w:id="0">
    <w:p w14:paraId="7FE72BDA" w14:textId="77777777" w:rsidR="00E005FA" w:rsidRDefault="00E005FA" w:rsidP="003E2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Open Sans">
    <w:altName w:val="Segoe UI"/>
    <w:charset w:val="00"/>
    <w:family w:val="swiss"/>
    <w:pitch w:val="variable"/>
    <w:sig w:usb0="E00002EF" w:usb1="4000205B" w:usb2="00000028" w:usb3="00000000" w:csb0="0000019F" w:csb1="00000000"/>
  </w:font>
  <w:font w:name="Times">
    <w:panose1 w:val="02020603050405020304"/>
    <w:charset w:val="00"/>
    <w:family w:val="roman"/>
    <w:notTrueType/>
    <w:pitch w:val="variable"/>
    <w:sig w:usb0="00000003" w:usb1="00000000" w:usb2="00000000" w:usb3="00000000" w:csb0="00000001" w:csb1="00000000"/>
  </w:font>
  <w:font w:name="ヒラギノ角ゴ Pro W3">
    <w:altName w:val="Yu Gothic"/>
    <w:charset w:val="00"/>
    <w:family w:val="roman"/>
    <w:pitch w:val="default"/>
  </w:font>
  <w:font w:name="OpenSans">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12E50" w14:textId="13E3D4E3" w:rsidR="00E005FA" w:rsidRDefault="00E005FA" w:rsidP="0012559F">
    <w:pPr>
      <w:pStyle w:val="Footer"/>
      <w:ind w:left="-1247"/>
    </w:pPr>
    <w:r>
      <w:rPr>
        <w:rFonts w:cs="Calibri"/>
        <w:noProof/>
        <w:color w:val="008173"/>
        <w:szCs w:val="22"/>
        <w:lang w:val="en-GB"/>
      </w:rPr>
      <w:softHyphen/>
    </w:r>
  </w:p>
  <w:p w14:paraId="140A8E7A" w14:textId="61FBC863" w:rsidR="00E005FA" w:rsidRPr="009F0DB0" w:rsidRDefault="00B34E6F" w:rsidP="009F0DB0">
    <w:pPr>
      <w:pStyle w:val="BasicParagraph"/>
      <w:tabs>
        <w:tab w:val="left" w:pos="8931"/>
      </w:tabs>
      <w:rPr>
        <w:rFonts w:ascii="Calibri" w:hAnsi="Calibri" w:cs="Calibri"/>
        <w:color w:val="008173"/>
        <w:lang w:val="fr-FR"/>
      </w:rPr>
    </w:pPr>
    <w:sdt>
      <w:sdtPr>
        <w:rPr>
          <w:color w:val="008173"/>
        </w:rPr>
        <w:id w:val="12321022"/>
        <w:docPartObj>
          <w:docPartGallery w:val="Page Numbers (Bottom of Page)"/>
          <w:docPartUnique/>
        </w:docPartObj>
      </w:sdtPr>
      <w:sdtEndPr>
        <w:rPr>
          <w:rFonts w:ascii="Calibri" w:hAnsi="Calibri" w:cs="Calibri"/>
          <w:szCs w:val="22"/>
          <w:lang w:val="en-GB"/>
        </w:rPr>
      </w:sdtEndPr>
      <w:sdtContent>
        <w:sdt>
          <w:sdtPr>
            <w:rPr>
              <w:color w:val="008173"/>
            </w:rPr>
            <w:id w:val="997852463"/>
            <w:docPartObj>
              <w:docPartGallery w:val="Page Numbers (Bottom of Page)"/>
              <w:docPartUnique/>
            </w:docPartObj>
          </w:sdtPr>
          <w:sdtEndPr>
            <w:rPr>
              <w:rFonts w:ascii="Calibri" w:hAnsi="Calibri" w:cs="Calibri"/>
              <w:szCs w:val="22"/>
              <w:lang w:val="en-GB"/>
            </w:rPr>
          </w:sdtEndPr>
          <w:sdtContent>
            <w:r w:rsidR="00E005FA" w:rsidRPr="00321498">
              <w:rPr>
                <w:rFonts w:ascii="Calibri" w:hAnsi="Calibri" w:cs="Calibri"/>
                <w:color w:val="008173"/>
                <w:szCs w:val="22"/>
              </w:rPr>
              <w:t>E</w:t>
            </w:r>
            <w:r w:rsidR="00E005FA">
              <w:rPr>
                <w:rFonts w:ascii="Calibri" w:hAnsi="Calibri" w:cs="Calibri"/>
                <w:color w:val="008173"/>
                <w:szCs w:val="22"/>
              </w:rPr>
              <w:t>TC</w:t>
            </w:r>
            <w:r w:rsidR="00E005FA">
              <w:rPr>
                <w:rFonts w:ascii="Calibri" w:hAnsi="Calibri" w:cs="Calibri"/>
                <w:color w:val="008173"/>
                <w:szCs w:val="22"/>
                <w:lang w:val="en-GB"/>
              </w:rPr>
              <w:t>-CM Working Paper</w:t>
            </w:r>
            <w:r w:rsidR="00E005FA" w:rsidRPr="00321498">
              <w:rPr>
                <w:rFonts w:ascii="Calibri" w:hAnsi="Calibri" w:cs="Calibri"/>
                <w:color w:val="008173"/>
                <w:szCs w:val="22"/>
                <w:lang w:val="en-GB"/>
              </w:rPr>
              <w:tab/>
            </w:r>
            <w:r w:rsidR="00E005FA" w:rsidRPr="00321498">
              <w:rPr>
                <w:rFonts w:ascii="Calibri" w:hAnsi="Calibri" w:cs="Calibri"/>
                <w:color w:val="008173"/>
                <w:szCs w:val="22"/>
                <w:lang w:val="en-GB"/>
              </w:rPr>
              <w:fldChar w:fldCharType="begin"/>
            </w:r>
            <w:r w:rsidR="00E005FA" w:rsidRPr="00321498">
              <w:rPr>
                <w:rFonts w:ascii="Calibri" w:hAnsi="Calibri" w:cs="Calibri"/>
                <w:color w:val="008173"/>
                <w:szCs w:val="22"/>
                <w:lang w:val="en-GB"/>
              </w:rPr>
              <w:instrText xml:space="preserve"> PAGE   \* MERGEFORMAT </w:instrText>
            </w:r>
            <w:r w:rsidR="00E005FA" w:rsidRPr="00321498">
              <w:rPr>
                <w:rFonts w:ascii="Calibri" w:hAnsi="Calibri" w:cs="Calibri"/>
                <w:color w:val="008173"/>
                <w:szCs w:val="22"/>
                <w:lang w:val="en-GB"/>
              </w:rPr>
              <w:fldChar w:fldCharType="separate"/>
            </w:r>
            <w:r w:rsidR="005A0ED4">
              <w:rPr>
                <w:rFonts w:ascii="Calibri" w:hAnsi="Calibri" w:cs="Calibri"/>
                <w:noProof/>
                <w:color w:val="008173"/>
                <w:szCs w:val="22"/>
                <w:lang w:val="en-GB"/>
              </w:rPr>
              <w:t>21</w:t>
            </w:r>
            <w:r w:rsidR="00E005FA" w:rsidRPr="00321498">
              <w:rPr>
                <w:rFonts w:ascii="Calibri" w:hAnsi="Calibri" w:cs="Calibri"/>
                <w:color w:val="008173"/>
                <w:szCs w:val="22"/>
                <w:lang w:val="en-GB"/>
              </w:rPr>
              <w:fldChar w:fldCharType="end"/>
            </w:r>
          </w:sdtContent>
        </w:sdt>
        <w:r w:rsidR="00E005FA">
          <w:rPr>
            <w:rFonts w:ascii="Calibri" w:hAnsi="Calibri" w:cs="Calibri"/>
            <w:color w:val="008173"/>
            <w:szCs w:val="22"/>
            <w:lang w:val="en-GB"/>
          </w:rPr>
          <w:t xml:space="preserve"> </w:t>
        </w:r>
        <w:r w:rsidR="00E005FA" w:rsidRPr="009F0DB0">
          <w:rPr>
            <w:rFonts w:ascii="Calibri" w:hAnsi="Calibri" w:cs="Calibri"/>
            <w:color w:val="008173"/>
            <w:szCs w:val="22"/>
            <w:lang w:val="fr-FR"/>
          </w:rPr>
          <w:tab/>
        </w:r>
      </w:sdtContent>
    </w:sdt>
    <w:r w:rsidR="00E005FA" w:rsidRPr="009F0DB0">
      <w:rPr>
        <w:lang w:val="fr-F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62842" w14:textId="04B2027B" w:rsidR="00E005FA" w:rsidRPr="00722F51" w:rsidRDefault="00E005FA" w:rsidP="00722F51">
    <w:pPr>
      <w:pStyle w:val="Footer"/>
      <w:jc w:val="right"/>
    </w:pPr>
    <w:r>
      <w:rPr>
        <w:noProof/>
        <w:lang w:val="en-GB" w:eastAsia="en-GB"/>
      </w:rPr>
      <w:drawing>
        <wp:inline distT="0" distB="0" distL="0" distR="0" wp14:anchorId="3C15E334" wp14:editId="3BED628B">
          <wp:extent cx="2496317" cy="652273"/>
          <wp:effectExtent l="0" t="0" r="0" b="0"/>
          <wp:docPr id="10"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stretch>
                    <a:fillRect/>
                  </a:stretch>
                </pic:blipFill>
                <pic:spPr>
                  <a:xfrm>
                    <a:off x="0" y="0"/>
                    <a:ext cx="2496317" cy="65227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5DE88" w14:textId="77777777" w:rsidR="00E005FA" w:rsidRPr="00886111" w:rsidRDefault="00E005FA" w:rsidP="00B123B9">
    <w:pPr>
      <w:pStyle w:val="Footer"/>
      <w:rPr>
        <w:lang w:val="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8173"/>
      </w:rPr>
      <w:id w:val="30039446"/>
      <w:docPartObj>
        <w:docPartGallery w:val="Page Numbers (Bottom of Page)"/>
        <w:docPartUnique/>
      </w:docPartObj>
    </w:sdtPr>
    <w:sdtEndPr>
      <w:rPr>
        <w:rFonts w:ascii="Calibri" w:hAnsi="Calibri" w:cs="Calibri"/>
        <w:szCs w:val="22"/>
        <w:lang w:val="en-GB"/>
      </w:rPr>
    </w:sdtEndPr>
    <w:sdtContent>
      <w:p w14:paraId="36D4D8ED" w14:textId="3227FAD4" w:rsidR="00E005FA" w:rsidRPr="00321498" w:rsidRDefault="00E005FA" w:rsidP="005A54C6">
        <w:pPr>
          <w:pStyle w:val="BasicParagraph"/>
          <w:tabs>
            <w:tab w:val="left" w:pos="8931"/>
          </w:tabs>
          <w:rPr>
            <w:rFonts w:ascii="Calibri" w:hAnsi="Calibri" w:cs="Calibri"/>
            <w:color w:val="008173"/>
            <w:szCs w:val="22"/>
            <w:lang w:val="en-GB"/>
          </w:rPr>
        </w:pPr>
        <w:r w:rsidRPr="00321498">
          <w:rPr>
            <w:rFonts w:ascii="Calibri" w:hAnsi="Calibri" w:cs="Calibri"/>
            <w:color w:val="008173"/>
            <w:szCs w:val="22"/>
          </w:rPr>
          <w:t>E</w:t>
        </w:r>
        <w:r>
          <w:rPr>
            <w:rFonts w:ascii="Calibri" w:hAnsi="Calibri" w:cs="Calibri"/>
            <w:color w:val="008173"/>
            <w:szCs w:val="22"/>
          </w:rPr>
          <w:t>TC</w:t>
        </w:r>
        <w:r>
          <w:rPr>
            <w:rFonts w:ascii="Calibri" w:hAnsi="Calibri" w:cs="Calibri"/>
            <w:color w:val="008173"/>
            <w:szCs w:val="22"/>
            <w:lang w:val="en-GB"/>
          </w:rPr>
          <w:t>-CM Working Paper</w:t>
        </w:r>
        <w:r w:rsidRPr="00321498">
          <w:rPr>
            <w:rFonts w:ascii="Calibri" w:hAnsi="Calibri" w:cs="Calibri"/>
            <w:color w:val="008173"/>
            <w:szCs w:val="22"/>
            <w:lang w:val="en-GB"/>
          </w:rPr>
          <w:tab/>
        </w:r>
        <w:r w:rsidRPr="00321498">
          <w:rPr>
            <w:rFonts w:ascii="Calibri" w:hAnsi="Calibri" w:cs="Calibri"/>
            <w:color w:val="008173"/>
            <w:szCs w:val="22"/>
            <w:lang w:val="en-GB"/>
          </w:rPr>
          <w:fldChar w:fldCharType="begin"/>
        </w:r>
        <w:r w:rsidRPr="00321498">
          <w:rPr>
            <w:rFonts w:ascii="Calibri" w:hAnsi="Calibri" w:cs="Calibri"/>
            <w:color w:val="008173"/>
            <w:szCs w:val="22"/>
            <w:lang w:val="en-GB"/>
          </w:rPr>
          <w:instrText xml:space="preserve"> PAGE   \* MERGEFORMAT </w:instrText>
        </w:r>
        <w:r w:rsidRPr="00321498">
          <w:rPr>
            <w:rFonts w:ascii="Calibri" w:hAnsi="Calibri" w:cs="Calibri"/>
            <w:color w:val="008173"/>
            <w:szCs w:val="22"/>
            <w:lang w:val="en-GB"/>
          </w:rPr>
          <w:fldChar w:fldCharType="separate"/>
        </w:r>
        <w:r w:rsidR="005A0ED4">
          <w:rPr>
            <w:rFonts w:ascii="Calibri" w:hAnsi="Calibri" w:cs="Calibri"/>
            <w:noProof/>
            <w:color w:val="008173"/>
            <w:szCs w:val="22"/>
            <w:lang w:val="en-GB"/>
          </w:rPr>
          <w:t>4</w:t>
        </w:r>
        <w:r w:rsidRPr="00321498">
          <w:rPr>
            <w:rFonts w:ascii="Calibri" w:hAnsi="Calibri" w:cs="Calibri"/>
            <w:color w:val="008173"/>
            <w:szCs w:val="22"/>
            <w:lang w:val="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C9C7B" w14:textId="77777777" w:rsidR="00E005FA" w:rsidRDefault="00E005FA" w:rsidP="003E25FF">
      <w:r>
        <w:separator/>
      </w:r>
    </w:p>
  </w:footnote>
  <w:footnote w:type="continuationSeparator" w:id="0">
    <w:p w14:paraId="43025682" w14:textId="77777777" w:rsidR="00E005FA" w:rsidRDefault="00E005FA" w:rsidP="003E25FF">
      <w:r>
        <w:continuationSeparator/>
      </w:r>
    </w:p>
  </w:footnote>
  <w:footnote w:id="1">
    <w:p w14:paraId="59538B63" w14:textId="77777777" w:rsidR="00E005FA" w:rsidRPr="007827C8" w:rsidRDefault="00E005FA" w:rsidP="00AC510B">
      <w:pPr>
        <w:pStyle w:val="FootnoteText"/>
        <w:tabs>
          <w:tab w:val="left" w:pos="540"/>
        </w:tabs>
        <w:ind w:hanging="539"/>
        <w:rPr>
          <w:rFonts w:ascii="Verdana" w:hAnsi="Verdana"/>
          <w:sz w:val="16"/>
          <w:szCs w:val="16"/>
        </w:rPr>
      </w:pPr>
      <w:r w:rsidRPr="007827C8">
        <w:rPr>
          <w:rFonts w:ascii="Verdana" w:hAnsi="Verdana"/>
          <w:sz w:val="16"/>
          <w:szCs w:val="16"/>
        </w:rPr>
        <w:t>(</w:t>
      </w:r>
      <w:r w:rsidRPr="007827C8">
        <w:rPr>
          <w:rStyle w:val="FootnoteReference"/>
          <w:rFonts w:ascii="Verdana" w:hAnsi="Verdana"/>
          <w:sz w:val="16"/>
          <w:szCs w:val="16"/>
        </w:rPr>
        <w:footnoteRef/>
      </w:r>
      <w:r w:rsidRPr="007827C8">
        <w:rPr>
          <w:rFonts w:ascii="Verdana" w:hAnsi="Verdana"/>
          <w:sz w:val="16"/>
          <w:szCs w:val="16"/>
        </w:rPr>
        <w:t>)</w:t>
      </w:r>
      <w:r w:rsidRPr="007827C8">
        <w:rPr>
          <w:rFonts w:ascii="Verdana" w:hAnsi="Verdana"/>
          <w:sz w:val="16"/>
          <w:szCs w:val="16"/>
        </w:rPr>
        <w:tab/>
      </w:r>
      <w:bookmarkStart w:id="4" w:name="OLE_LINK1"/>
      <w:r w:rsidRPr="007827C8">
        <w:rPr>
          <w:rFonts w:ascii="Verdana" w:hAnsi="Verdana"/>
          <w:sz w:val="16"/>
          <w:szCs w:val="16"/>
        </w:rPr>
        <w:fldChar w:fldCharType="begin"/>
      </w:r>
      <w:r w:rsidRPr="007827C8">
        <w:rPr>
          <w:rFonts w:ascii="Verdana" w:hAnsi="Verdana"/>
          <w:sz w:val="16"/>
          <w:szCs w:val="16"/>
        </w:rPr>
        <w:instrText xml:space="preserve"> HYPERLINK "http://ec.europa.eu/environment/ets/" </w:instrText>
      </w:r>
      <w:r w:rsidRPr="007827C8">
        <w:rPr>
          <w:rFonts w:ascii="Verdana" w:hAnsi="Verdana"/>
          <w:sz w:val="16"/>
          <w:szCs w:val="16"/>
        </w:rPr>
      </w:r>
      <w:r w:rsidRPr="007827C8">
        <w:rPr>
          <w:rFonts w:ascii="Verdana" w:hAnsi="Verdana"/>
          <w:sz w:val="16"/>
          <w:szCs w:val="16"/>
        </w:rPr>
        <w:fldChar w:fldCharType="separate"/>
      </w:r>
      <w:r w:rsidRPr="007827C8">
        <w:rPr>
          <w:rStyle w:val="Hyperlink"/>
          <w:rFonts w:ascii="Verdana" w:hAnsi="Verdana"/>
          <w:sz w:val="16"/>
          <w:szCs w:val="16"/>
        </w:rPr>
        <w:t>http://ec.europa.eu/environment/ets</w:t>
      </w:r>
      <w:bookmarkEnd w:id="4"/>
      <w:r w:rsidRPr="007827C8">
        <w:rPr>
          <w:rFonts w:ascii="Verdana" w:hAnsi="Verdana"/>
          <w:sz w:val="16"/>
          <w:szCs w:val="16"/>
        </w:rPr>
        <w:fldChar w:fldCharType="end"/>
      </w:r>
    </w:p>
  </w:footnote>
  <w:footnote w:id="2">
    <w:p w14:paraId="751745CE" w14:textId="77777777" w:rsidR="00E005FA" w:rsidRPr="007827C8" w:rsidRDefault="00E005FA" w:rsidP="00AC510B">
      <w:pPr>
        <w:pStyle w:val="FootnoteText"/>
        <w:tabs>
          <w:tab w:val="left" w:pos="540"/>
        </w:tabs>
        <w:ind w:hanging="539"/>
        <w:rPr>
          <w:rFonts w:ascii="Verdana" w:hAnsi="Verdana"/>
          <w:sz w:val="16"/>
          <w:szCs w:val="16"/>
        </w:rPr>
      </w:pPr>
      <w:r w:rsidRPr="007827C8">
        <w:rPr>
          <w:rFonts w:ascii="Verdana" w:hAnsi="Verdana"/>
          <w:sz w:val="16"/>
          <w:szCs w:val="16"/>
        </w:rPr>
        <w:t>(</w:t>
      </w:r>
      <w:r w:rsidRPr="007827C8">
        <w:rPr>
          <w:rStyle w:val="FootnoteReference"/>
          <w:rFonts w:ascii="Verdana" w:hAnsi="Verdana"/>
          <w:sz w:val="16"/>
          <w:szCs w:val="16"/>
        </w:rPr>
        <w:footnoteRef/>
      </w:r>
      <w:r w:rsidRPr="007827C8">
        <w:rPr>
          <w:rFonts w:ascii="Verdana" w:hAnsi="Verdana"/>
          <w:sz w:val="16"/>
          <w:szCs w:val="16"/>
        </w:rPr>
        <w:t>)</w:t>
      </w:r>
      <w:r w:rsidRPr="007827C8">
        <w:rPr>
          <w:rFonts w:ascii="Verdana" w:hAnsi="Verdana"/>
          <w:sz w:val="16"/>
          <w:szCs w:val="16"/>
        </w:rPr>
        <w:tab/>
      </w:r>
      <w:hyperlink r:id="rId1" w:history="1">
        <w:r w:rsidRPr="007827C8">
          <w:rPr>
            <w:rStyle w:val="Hyperlink"/>
            <w:rFonts w:ascii="Verdana" w:hAnsi="Verdana"/>
            <w:sz w:val="16"/>
            <w:szCs w:val="16"/>
          </w:rPr>
          <w:t>http://www.eea.europa.eu</w:t>
        </w:r>
      </w:hyperlink>
      <w:r w:rsidRPr="007827C8">
        <w:rPr>
          <w:rFonts w:ascii="Verdana" w:hAnsi="Verdana"/>
          <w:sz w:val="16"/>
          <w:szCs w:val="16"/>
        </w:rPr>
        <w:t xml:space="preserve"> </w:t>
      </w:r>
    </w:p>
  </w:footnote>
  <w:footnote w:id="3">
    <w:p w14:paraId="18DDDECF" w14:textId="01E7CC90" w:rsidR="00E005FA" w:rsidRPr="007827C8" w:rsidRDefault="00E005FA" w:rsidP="00AC510B">
      <w:pPr>
        <w:pStyle w:val="FootnoteText"/>
        <w:tabs>
          <w:tab w:val="left" w:pos="540"/>
        </w:tabs>
        <w:ind w:hanging="539"/>
        <w:rPr>
          <w:rStyle w:val="Hyperlink"/>
          <w:rFonts w:ascii="Verdana" w:hAnsi="Verdana"/>
          <w:sz w:val="16"/>
          <w:szCs w:val="16"/>
        </w:rPr>
      </w:pPr>
      <w:r w:rsidRPr="00262B35">
        <w:rPr>
          <w:rStyle w:val="Hyperlink"/>
          <w:rFonts w:ascii="Verdana" w:hAnsi="Verdana"/>
          <w:color w:val="auto"/>
          <w:sz w:val="16"/>
          <w:szCs w:val="16"/>
          <w:u w:val="none"/>
        </w:rPr>
        <w:t>(</w:t>
      </w:r>
      <w:r w:rsidRPr="00262B35">
        <w:rPr>
          <w:rStyle w:val="Hyperlink"/>
          <w:rFonts w:ascii="Verdana" w:hAnsi="Verdana"/>
          <w:color w:val="auto"/>
          <w:sz w:val="16"/>
          <w:szCs w:val="16"/>
          <w:u w:val="none"/>
          <w:vertAlign w:val="superscript"/>
        </w:rPr>
        <w:footnoteRef/>
      </w:r>
      <w:r w:rsidRPr="00262B35">
        <w:rPr>
          <w:rStyle w:val="Hyperlink"/>
          <w:rFonts w:ascii="Verdana" w:hAnsi="Verdana"/>
          <w:color w:val="auto"/>
          <w:sz w:val="16"/>
          <w:szCs w:val="16"/>
          <w:u w:val="none"/>
        </w:rPr>
        <w:t>)</w:t>
      </w:r>
      <w:r w:rsidRPr="00262B35">
        <w:rPr>
          <w:rStyle w:val="Hyperlink"/>
          <w:rFonts w:ascii="Verdana" w:hAnsi="Verdana"/>
          <w:color w:val="auto"/>
          <w:sz w:val="16"/>
          <w:szCs w:val="16"/>
          <w:u w:val="none"/>
        </w:rPr>
        <w:tab/>
      </w:r>
      <w:hyperlink r:id="rId2" w:history="1">
        <w:r w:rsidRPr="00046693">
          <w:rPr>
            <w:rStyle w:val="Hyperlink"/>
          </w:rPr>
          <w:t>https://www.eionet.europa.eu/etcs/etc-cm</w:t>
        </w:r>
      </w:hyperlink>
      <w:r>
        <w:t xml:space="preserve"> </w:t>
      </w:r>
    </w:p>
  </w:footnote>
  <w:footnote w:id="4">
    <w:p w14:paraId="12B95F21" w14:textId="77777777" w:rsidR="00E005FA" w:rsidRPr="00111B56" w:rsidRDefault="00E005FA" w:rsidP="00AC510B">
      <w:pPr>
        <w:pStyle w:val="FootnoteText"/>
        <w:tabs>
          <w:tab w:val="left" w:pos="540"/>
        </w:tabs>
        <w:ind w:hanging="539"/>
        <w:rPr>
          <w:rStyle w:val="Hyperlink"/>
          <w:rFonts w:ascii="Verdana" w:hAnsi="Verdana"/>
          <w:sz w:val="16"/>
          <w:szCs w:val="16"/>
        </w:rPr>
      </w:pPr>
      <w:r w:rsidRPr="00262B35">
        <w:rPr>
          <w:rStyle w:val="Hyperlink"/>
          <w:rFonts w:ascii="Verdana" w:hAnsi="Verdana"/>
          <w:color w:val="auto"/>
          <w:sz w:val="16"/>
          <w:szCs w:val="16"/>
          <w:u w:val="none"/>
        </w:rPr>
        <w:t>(</w:t>
      </w:r>
      <w:r w:rsidRPr="00262B35">
        <w:rPr>
          <w:rStyle w:val="Hyperlink"/>
          <w:rFonts w:ascii="Verdana" w:hAnsi="Verdana"/>
          <w:color w:val="auto"/>
          <w:sz w:val="16"/>
          <w:szCs w:val="16"/>
          <w:u w:val="none"/>
          <w:vertAlign w:val="superscript"/>
        </w:rPr>
        <w:footnoteRef/>
      </w:r>
      <w:r w:rsidRPr="00262B35">
        <w:rPr>
          <w:rStyle w:val="Hyperlink"/>
          <w:rFonts w:ascii="Verdana" w:hAnsi="Verdana"/>
          <w:color w:val="auto"/>
          <w:sz w:val="16"/>
          <w:szCs w:val="16"/>
          <w:u w:val="none"/>
        </w:rPr>
        <w:t>)</w:t>
      </w:r>
      <w:r w:rsidRPr="00262B35">
        <w:rPr>
          <w:rStyle w:val="Hyperlink"/>
          <w:rFonts w:ascii="Verdana" w:hAnsi="Verdana"/>
          <w:color w:val="auto"/>
          <w:sz w:val="16"/>
          <w:szCs w:val="16"/>
          <w:u w:val="none"/>
        </w:rPr>
        <w:tab/>
      </w:r>
      <w:r w:rsidRPr="007827C8">
        <w:rPr>
          <w:rFonts w:ascii="Verdana" w:hAnsi="Verdana"/>
          <w:sz w:val="16"/>
          <w:szCs w:val="16"/>
        </w:rPr>
        <w:t>Directive 2009/29/EC of the European Parliament and of the council of 23 April 2009 amending Directive 2003/87/EC so as to improve and extend the greenhouse gas emission allowance trading scheme of the Community, Official Journal of the European Union, 5.6.2009</w:t>
      </w:r>
    </w:p>
  </w:footnote>
  <w:footnote w:id="5">
    <w:p w14:paraId="58883A63" w14:textId="77777777" w:rsidR="00E005FA" w:rsidRDefault="00E005FA" w:rsidP="005C215E">
      <w:pPr>
        <w:pStyle w:val="FootnoteText"/>
        <w:tabs>
          <w:tab w:val="left" w:pos="540"/>
        </w:tabs>
        <w:ind w:left="540" w:hanging="540"/>
      </w:pPr>
      <w:r w:rsidRPr="007827C8">
        <w:rPr>
          <w:rFonts w:ascii="Verdana" w:hAnsi="Verdana"/>
          <w:sz w:val="16"/>
          <w:szCs w:val="16"/>
        </w:rPr>
        <w:t>(</w:t>
      </w:r>
      <w:r w:rsidRPr="007827C8">
        <w:rPr>
          <w:rStyle w:val="FootnoteReference"/>
          <w:rFonts w:ascii="Verdana" w:hAnsi="Verdana"/>
          <w:sz w:val="16"/>
          <w:szCs w:val="16"/>
        </w:rPr>
        <w:footnoteRef/>
      </w:r>
      <w:r w:rsidRPr="007827C8">
        <w:rPr>
          <w:rFonts w:ascii="Verdana" w:hAnsi="Verdana"/>
          <w:sz w:val="16"/>
          <w:szCs w:val="16"/>
        </w:rPr>
        <w:t>)</w:t>
      </w:r>
      <w:r w:rsidRPr="007827C8">
        <w:rPr>
          <w:rFonts w:ascii="Verdana" w:hAnsi="Verdana"/>
          <w:sz w:val="16"/>
          <w:szCs w:val="16"/>
        </w:rPr>
        <w:tab/>
      </w:r>
      <w:hyperlink r:id="rId3" w:history="1">
        <w:r w:rsidRPr="006B14F6">
          <w:rPr>
            <w:rStyle w:val="Hyperlink"/>
            <w:rFonts w:ascii="Verdana" w:hAnsi="Verdana"/>
            <w:sz w:val="16"/>
            <w:szCs w:val="16"/>
          </w:rPr>
          <w:t>https://ec.europa.eu/clima/sites/clima/files/installation_nace_rev2_matching_en.xls</w:t>
        </w:r>
      </w:hyperlink>
    </w:p>
    <w:p w14:paraId="7D34C420" w14:textId="77777777" w:rsidR="00E005FA" w:rsidRPr="007827C8" w:rsidRDefault="00E005FA" w:rsidP="005C215E">
      <w:pPr>
        <w:pStyle w:val="FootnoteText"/>
        <w:tabs>
          <w:tab w:val="left" w:pos="540"/>
        </w:tabs>
        <w:ind w:left="540" w:hanging="540"/>
        <w:rPr>
          <w:rFonts w:ascii="Verdana" w:hAnsi="Verdana"/>
          <w:sz w:val="16"/>
          <w:szCs w:val="16"/>
        </w:rPr>
      </w:pPr>
      <w:r w:rsidRPr="007827C8">
        <w:rPr>
          <w:rFonts w:ascii="Verdana" w:hAnsi="Verdana"/>
          <w:sz w:val="16"/>
          <w:szCs w:val="16"/>
        </w:rPr>
        <w:t xml:space="preserve"> as of </w:t>
      </w:r>
      <w:r>
        <w:rPr>
          <w:rFonts w:ascii="Verdana" w:hAnsi="Verdana"/>
          <w:sz w:val="16"/>
          <w:szCs w:val="16"/>
        </w:rPr>
        <w:t>18</w:t>
      </w:r>
      <w:r w:rsidRPr="007827C8">
        <w:rPr>
          <w:rFonts w:ascii="Verdana" w:hAnsi="Verdana"/>
          <w:sz w:val="16"/>
          <w:szCs w:val="16"/>
        </w:rPr>
        <w:t xml:space="preserve"> </w:t>
      </w:r>
      <w:r>
        <w:rPr>
          <w:rFonts w:ascii="Verdana" w:hAnsi="Verdana"/>
          <w:sz w:val="16"/>
          <w:szCs w:val="16"/>
        </w:rPr>
        <w:t>December 2017</w:t>
      </w:r>
      <w:r w:rsidRPr="007827C8">
        <w:rPr>
          <w:rFonts w:ascii="Verdana" w:hAnsi="Verdana"/>
          <w:sz w:val="16"/>
          <w:szCs w:val="16"/>
        </w:rPr>
        <w:t>.</w:t>
      </w:r>
    </w:p>
  </w:footnote>
  <w:footnote w:id="6">
    <w:p w14:paraId="6C54E97F" w14:textId="77777777" w:rsidR="00E005FA" w:rsidRPr="007827C8" w:rsidRDefault="00E005FA" w:rsidP="005C215E">
      <w:pPr>
        <w:pStyle w:val="FootnoteText"/>
        <w:ind w:left="567" w:hanging="567"/>
        <w:rPr>
          <w:rStyle w:val="Hyperlink"/>
          <w:rFonts w:ascii="Verdana" w:hAnsi="Verdana"/>
          <w:sz w:val="16"/>
          <w:szCs w:val="16"/>
        </w:rPr>
      </w:pPr>
      <w:r w:rsidRPr="007827C8">
        <w:rPr>
          <w:rFonts w:ascii="Verdana" w:hAnsi="Verdana"/>
          <w:sz w:val="16"/>
          <w:szCs w:val="16"/>
        </w:rPr>
        <w:t>(</w:t>
      </w:r>
      <w:r w:rsidRPr="007827C8">
        <w:rPr>
          <w:rStyle w:val="FootnoteReference"/>
          <w:rFonts w:ascii="Verdana" w:hAnsi="Verdana"/>
          <w:sz w:val="16"/>
          <w:szCs w:val="16"/>
        </w:rPr>
        <w:footnoteRef/>
      </w:r>
      <w:r w:rsidRPr="007827C8">
        <w:rPr>
          <w:rFonts w:ascii="Verdana" w:hAnsi="Verdana"/>
          <w:sz w:val="16"/>
          <w:szCs w:val="16"/>
        </w:rPr>
        <w:t xml:space="preserve">) </w:t>
      </w:r>
      <w:r w:rsidRPr="007827C8">
        <w:rPr>
          <w:rFonts w:ascii="Verdana" w:hAnsi="Verdana"/>
          <w:sz w:val="16"/>
          <w:szCs w:val="16"/>
        </w:rPr>
        <w:tab/>
      </w:r>
      <w:hyperlink r:id="rId4" w:history="1">
        <w:r w:rsidRPr="007827C8">
          <w:rPr>
            <w:rStyle w:val="Hyperlink"/>
            <w:rFonts w:ascii="Verdana" w:hAnsi="Verdana"/>
            <w:sz w:val="16"/>
            <w:szCs w:val="16"/>
          </w:rPr>
          <w:t>http://acm.eionet.europa.eu/docs/ETCACM_EU-ETS_translation_of_activity_codes_April_2016_for_publication.pdf</w:t>
        </w:r>
      </w:hyperlink>
    </w:p>
  </w:footnote>
  <w:footnote w:id="7">
    <w:p w14:paraId="62DD168B" w14:textId="77777777" w:rsidR="00E005FA" w:rsidRPr="008A57B5" w:rsidRDefault="00E005FA" w:rsidP="00700445">
      <w:pPr>
        <w:pStyle w:val="FootnoteText"/>
        <w:tabs>
          <w:tab w:val="left" w:pos="540"/>
        </w:tabs>
        <w:ind w:left="540" w:hanging="540"/>
        <w:rPr>
          <w:rFonts w:ascii="Verdana" w:hAnsi="Verdana"/>
          <w:sz w:val="16"/>
        </w:rPr>
      </w:pPr>
      <w:r w:rsidRPr="00CD650B">
        <w:rPr>
          <w:rFonts w:ascii="Verdana" w:hAnsi="Verdana"/>
          <w:sz w:val="16"/>
          <w:szCs w:val="16"/>
        </w:rPr>
        <w:t>(</w:t>
      </w:r>
      <w:r w:rsidRPr="00CD650B">
        <w:rPr>
          <w:rFonts w:ascii="Verdana" w:hAnsi="Verdana"/>
          <w:sz w:val="16"/>
          <w:szCs w:val="16"/>
          <w:vertAlign w:val="superscript"/>
        </w:rPr>
        <w:footnoteRef/>
      </w:r>
      <w:r w:rsidRPr="00CD650B">
        <w:rPr>
          <w:rFonts w:ascii="Verdana" w:hAnsi="Verdana"/>
          <w:sz w:val="16"/>
          <w:szCs w:val="16"/>
        </w:rPr>
        <w:t xml:space="preserve">) </w:t>
      </w:r>
      <w:r>
        <w:t xml:space="preserve">  </w:t>
      </w:r>
      <w:r w:rsidRPr="004135AF">
        <w:rPr>
          <w:rFonts w:ascii="Verdana" w:hAnsi="Verdana"/>
          <w:sz w:val="16"/>
          <w:szCs w:val="16"/>
        </w:rPr>
        <w:t xml:space="preserve">See Translation of activity </w:t>
      </w:r>
      <w:r w:rsidRPr="00CD650B">
        <w:rPr>
          <w:rFonts w:ascii="Verdana" w:hAnsi="Verdana" w:cs="Calibri"/>
          <w:sz w:val="16"/>
          <w:szCs w:val="16"/>
        </w:rPr>
        <w:t>codes in the information</w:t>
      </w:r>
      <w:r w:rsidRPr="004135AF">
        <w:rPr>
          <w:rFonts w:ascii="Verdana" w:hAnsi="Verdana"/>
          <w:sz w:val="16"/>
          <w:szCs w:val="16"/>
        </w:rPr>
        <w:t xml:space="preserve"> section </w:t>
      </w:r>
      <w:r>
        <w:rPr>
          <w:rFonts w:ascii="Verdana" w:hAnsi="Verdana"/>
          <w:sz w:val="16"/>
          <w:szCs w:val="16"/>
        </w:rPr>
        <w:t xml:space="preserve">at </w:t>
      </w:r>
      <w:r w:rsidRPr="004135AF">
        <w:rPr>
          <w:rStyle w:val="Hyperlink"/>
          <w:rFonts w:ascii="Verdana" w:hAnsi="Verdana"/>
          <w:sz w:val="16"/>
        </w:rPr>
        <w:t>https://www.eea.europa.eu/data-and-maps/dashboards/emissions-trading-viewer-1</w:t>
      </w:r>
      <w:r>
        <w:rPr>
          <w:rFonts w:ascii="Verdana" w:hAnsi="Verdana"/>
          <w:sz w:val="16"/>
        </w:rPr>
        <w:t xml:space="preserve"> </w:t>
      </w:r>
      <w:r w:rsidRPr="00506BD9" w:rsidDel="00506BD9">
        <w:rPr>
          <w:rFonts w:ascii="Verdana" w:hAnsi="Verdana"/>
          <w:sz w:val="16"/>
        </w:rPr>
        <w:t xml:space="preserve"> </w:t>
      </w:r>
      <w:r>
        <w:rPr>
          <w:rFonts w:ascii="Verdana" w:hAnsi="Verdana"/>
          <w:sz w:val="16"/>
        </w:rPr>
        <w:t xml:space="preserve"> </w:t>
      </w:r>
    </w:p>
    <w:p w14:paraId="56B6D0D3" w14:textId="77777777" w:rsidR="00E005FA" w:rsidRPr="004135AF" w:rsidRDefault="00E005FA" w:rsidP="00700445">
      <w:pPr>
        <w:pStyle w:val="FootnoteText"/>
      </w:pPr>
    </w:p>
  </w:footnote>
  <w:footnote w:id="8">
    <w:p w14:paraId="6EE67C56" w14:textId="77777777" w:rsidR="00E005FA" w:rsidRPr="008A57B5" w:rsidRDefault="00E005FA" w:rsidP="00700445">
      <w:pPr>
        <w:pStyle w:val="FootnoteText"/>
        <w:ind w:left="567" w:hanging="567"/>
        <w:rPr>
          <w:rFonts w:ascii="Verdana" w:hAnsi="Verdana"/>
          <w:sz w:val="16"/>
          <w:szCs w:val="16"/>
        </w:rPr>
      </w:pPr>
      <w:r w:rsidRPr="007827C8">
        <w:rPr>
          <w:rFonts w:ascii="Verdana" w:hAnsi="Verdana"/>
          <w:sz w:val="16"/>
          <w:szCs w:val="16"/>
        </w:rPr>
        <w:t>(</w:t>
      </w:r>
      <w:r w:rsidRPr="007827C8">
        <w:rPr>
          <w:rStyle w:val="FootnoteReference"/>
          <w:rFonts w:ascii="Verdana" w:hAnsi="Verdana"/>
          <w:sz w:val="16"/>
          <w:szCs w:val="16"/>
        </w:rPr>
        <w:footnoteRef/>
      </w:r>
      <w:r w:rsidRPr="007827C8">
        <w:rPr>
          <w:rFonts w:ascii="Verdana" w:hAnsi="Verdana"/>
          <w:sz w:val="16"/>
          <w:szCs w:val="16"/>
        </w:rPr>
        <w:t>)</w:t>
      </w:r>
      <w:r>
        <w:rPr>
          <w:rFonts w:ascii="Verdana" w:hAnsi="Verdana"/>
          <w:sz w:val="16"/>
          <w:szCs w:val="16"/>
        </w:rPr>
        <w:tab/>
      </w:r>
      <w:hyperlink r:id="rId5" w:history="1">
        <w:r w:rsidRPr="00A81CD5">
          <w:rPr>
            <w:rStyle w:val="Hyperlink"/>
            <w:rFonts w:ascii="Verdana" w:hAnsi="Verdana"/>
            <w:sz w:val="16"/>
            <w:szCs w:val="16"/>
          </w:rPr>
          <w:t>https://ec.europa.eu/clima/sites/clima/files/transport/aviation/docs/20130926_returns_en.pdf</w:t>
        </w:r>
      </w:hyperlink>
    </w:p>
  </w:footnote>
  <w:footnote w:id="9">
    <w:p w14:paraId="779AFA31" w14:textId="77777777" w:rsidR="00E005FA" w:rsidRPr="00111B56" w:rsidRDefault="00E005FA" w:rsidP="00700445">
      <w:pPr>
        <w:pStyle w:val="FootnoteText"/>
        <w:tabs>
          <w:tab w:val="left" w:pos="540"/>
        </w:tabs>
        <w:rPr>
          <w:rFonts w:ascii="Verdana" w:hAnsi="Verdana"/>
          <w:sz w:val="16"/>
          <w:szCs w:val="16"/>
        </w:rPr>
      </w:pPr>
      <w:r w:rsidRPr="00111B56">
        <w:rPr>
          <w:rFonts w:ascii="Verdana" w:hAnsi="Verdana"/>
          <w:sz w:val="16"/>
          <w:szCs w:val="16"/>
        </w:rPr>
        <w:t>(</w:t>
      </w:r>
      <w:r w:rsidRPr="00111B56">
        <w:rPr>
          <w:rStyle w:val="FootnoteReference"/>
          <w:rFonts w:ascii="Verdana" w:hAnsi="Verdana"/>
          <w:sz w:val="16"/>
          <w:szCs w:val="16"/>
        </w:rPr>
        <w:footnoteRef/>
      </w:r>
      <w:r>
        <w:rPr>
          <w:rFonts w:ascii="Verdana" w:hAnsi="Verdana"/>
          <w:sz w:val="16"/>
          <w:szCs w:val="16"/>
        </w:rPr>
        <w:t>)</w:t>
      </w:r>
      <w:r>
        <w:rPr>
          <w:rFonts w:ascii="Verdana" w:hAnsi="Verdana"/>
          <w:sz w:val="16"/>
          <w:szCs w:val="16"/>
        </w:rPr>
        <w:tab/>
      </w:r>
      <w:hyperlink r:id="rId6" w:history="1">
        <w:r w:rsidRPr="00891751">
          <w:rPr>
            <w:rStyle w:val="Hyperlink"/>
            <w:rFonts w:ascii="Verdana" w:hAnsi="Verdana"/>
            <w:sz w:val="16"/>
            <w:szCs w:val="16"/>
          </w:rPr>
          <w:t>www.eex.com</w:t>
        </w:r>
      </w:hyperlink>
      <w:r w:rsidRPr="00111B56">
        <w:rPr>
          <w:rFonts w:ascii="Verdana" w:hAnsi="Verdana"/>
          <w:sz w:val="16"/>
          <w:szCs w:val="16"/>
        </w:rPr>
        <w:t>;</w:t>
      </w:r>
      <w:r>
        <w:rPr>
          <w:rFonts w:ascii="Verdana" w:hAnsi="Verdana"/>
          <w:sz w:val="16"/>
          <w:szCs w:val="16"/>
        </w:rPr>
        <w:t xml:space="preserve"> </w:t>
      </w:r>
      <w:hyperlink r:id="rId7" w:history="1">
        <w:r w:rsidRPr="00891751">
          <w:rPr>
            <w:rStyle w:val="Hyperlink"/>
            <w:rFonts w:ascii="Verdana" w:hAnsi="Verdana"/>
            <w:sz w:val="16"/>
            <w:szCs w:val="16"/>
          </w:rPr>
          <w:t>www.theice.com</w:t>
        </w:r>
      </w:hyperlink>
      <w:r>
        <w:rPr>
          <w:rFonts w:ascii="Verdana" w:hAnsi="Verdana"/>
          <w:sz w:val="16"/>
          <w:szCs w:val="16"/>
        </w:rPr>
        <w:t xml:space="preserve"> </w:t>
      </w:r>
    </w:p>
  </w:footnote>
  <w:footnote w:id="10">
    <w:p w14:paraId="5C86F21E" w14:textId="0C55EB3A" w:rsidR="00E005FA" w:rsidRPr="008A57B5" w:rsidRDefault="00E005FA" w:rsidP="00700445">
      <w:pPr>
        <w:pStyle w:val="FootnoteText"/>
        <w:tabs>
          <w:tab w:val="left" w:pos="540"/>
        </w:tabs>
        <w:ind w:left="540" w:hanging="540"/>
        <w:rPr>
          <w:rFonts w:ascii="Verdana" w:hAnsi="Verdana"/>
          <w:sz w:val="16"/>
        </w:rPr>
      </w:pPr>
      <w:r w:rsidRPr="008A57B5">
        <w:rPr>
          <w:rFonts w:ascii="Verdana" w:hAnsi="Verdana"/>
          <w:sz w:val="16"/>
        </w:rPr>
        <w:t>(</w:t>
      </w:r>
      <w:r w:rsidRPr="008A57B5">
        <w:rPr>
          <w:rStyle w:val="FootnoteReference"/>
          <w:rFonts w:ascii="Verdana" w:hAnsi="Verdana"/>
          <w:sz w:val="16"/>
        </w:rPr>
        <w:footnoteRef/>
      </w:r>
      <w:r w:rsidRPr="008A57B5">
        <w:rPr>
          <w:rFonts w:ascii="Verdana" w:hAnsi="Verdana"/>
          <w:sz w:val="16"/>
        </w:rPr>
        <w:t>)</w:t>
      </w:r>
      <w:r>
        <w:rPr>
          <w:rFonts w:ascii="Verdana" w:hAnsi="Verdana"/>
          <w:sz w:val="16"/>
        </w:rPr>
        <w:tab/>
      </w:r>
      <w:hyperlink r:id="rId8" w:history="1">
        <w:r w:rsidRPr="004135AF">
          <w:rPr>
            <w:rFonts w:ascii="Verdana" w:hAnsi="Verdana"/>
            <w:sz w:val="16"/>
            <w:szCs w:val="16"/>
          </w:rPr>
          <w:t>see</w:t>
        </w:r>
      </w:hyperlink>
      <w:r w:rsidRPr="004135AF">
        <w:rPr>
          <w:rFonts w:ascii="Verdana" w:hAnsi="Verdana"/>
          <w:sz w:val="16"/>
          <w:szCs w:val="16"/>
        </w:rPr>
        <w:t xml:space="preserve"> information section </w:t>
      </w:r>
      <w:r>
        <w:rPr>
          <w:rFonts w:ascii="Verdana" w:hAnsi="Verdana"/>
          <w:sz w:val="16"/>
          <w:szCs w:val="16"/>
        </w:rPr>
        <w:t xml:space="preserve">at </w:t>
      </w:r>
      <w:r w:rsidRPr="004135AF">
        <w:rPr>
          <w:rStyle w:val="Hyperlink"/>
          <w:rFonts w:ascii="Verdana" w:hAnsi="Verdana"/>
          <w:sz w:val="16"/>
        </w:rPr>
        <w:t>https://www.eea.europa.eu/data-and-maps/dashboards/emissions-trading-viewer-1</w:t>
      </w:r>
    </w:p>
  </w:footnote>
  <w:footnote w:id="11">
    <w:p w14:paraId="57D68962" w14:textId="77777777" w:rsidR="00E005FA" w:rsidRPr="00111B56" w:rsidRDefault="00E005FA" w:rsidP="00671FE7">
      <w:pPr>
        <w:pStyle w:val="FootnoteText"/>
        <w:tabs>
          <w:tab w:val="left" w:pos="540"/>
        </w:tabs>
        <w:ind w:left="540" w:hanging="540"/>
        <w:rPr>
          <w:rFonts w:ascii="Verdana" w:hAnsi="Verdana"/>
          <w:sz w:val="16"/>
          <w:szCs w:val="16"/>
        </w:rPr>
      </w:pPr>
      <w:r w:rsidRPr="00111B56">
        <w:rPr>
          <w:rFonts w:ascii="Verdana" w:hAnsi="Verdana"/>
          <w:sz w:val="16"/>
          <w:szCs w:val="16"/>
        </w:rPr>
        <w:t>(</w:t>
      </w:r>
      <w:r w:rsidRPr="00111B56">
        <w:rPr>
          <w:rStyle w:val="FootnoteReference"/>
          <w:rFonts w:ascii="Verdana" w:hAnsi="Verdana"/>
          <w:sz w:val="16"/>
          <w:szCs w:val="16"/>
        </w:rPr>
        <w:footnoteRef/>
      </w:r>
      <w:r w:rsidRPr="00111B56">
        <w:rPr>
          <w:rFonts w:ascii="Verdana" w:hAnsi="Verdana"/>
          <w:sz w:val="16"/>
          <w:szCs w:val="16"/>
        </w:rPr>
        <w:t>)</w:t>
      </w:r>
      <w:r w:rsidRPr="00111B56">
        <w:rPr>
          <w:rFonts w:ascii="Verdana" w:hAnsi="Verdana"/>
          <w:sz w:val="16"/>
          <w:szCs w:val="16"/>
        </w:rPr>
        <w:tab/>
      </w:r>
      <w:hyperlink r:id="rId9" w:history="1">
        <w:r w:rsidRPr="006B14F6">
          <w:rPr>
            <w:rStyle w:val="Hyperlink"/>
            <w:rFonts w:ascii="Verdana" w:hAnsi="Verdana"/>
            <w:sz w:val="16"/>
            <w:szCs w:val="16"/>
          </w:rPr>
          <w:t>https://ec.europa.eu/clima/sites/clima/files/installation_nace_rev2_matching_en.xls</w:t>
        </w:r>
      </w:hyperlink>
      <w:r w:rsidRPr="007827C8">
        <w:rPr>
          <w:rFonts w:ascii="Verdana" w:hAnsi="Verdana"/>
          <w:sz w:val="16"/>
          <w:szCs w:val="16"/>
        </w:rPr>
        <w:t xml:space="preserve"> as of </w:t>
      </w:r>
      <w:r>
        <w:rPr>
          <w:rFonts w:ascii="Verdana" w:hAnsi="Verdana"/>
          <w:sz w:val="16"/>
          <w:szCs w:val="16"/>
        </w:rPr>
        <w:t>18</w:t>
      </w:r>
      <w:r w:rsidRPr="007827C8">
        <w:rPr>
          <w:rFonts w:ascii="Verdana" w:hAnsi="Verdana"/>
          <w:sz w:val="16"/>
          <w:szCs w:val="16"/>
        </w:rPr>
        <w:t xml:space="preserve"> </w:t>
      </w:r>
      <w:r>
        <w:rPr>
          <w:rFonts w:ascii="Verdana" w:hAnsi="Verdana"/>
          <w:sz w:val="16"/>
          <w:szCs w:val="16"/>
        </w:rPr>
        <w:t>December 2017</w:t>
      </w:r>
      <w:r w:rsidRPr="007827C8">
        <w:rPr>
          <w:rFonts w:ascii="Verdana" w:hAnsi="Verdana"/>
          <w:sz w:val="16"/>
          <w:szCs w:val="16"/>
        </w:rPr>
        <w:t>.</w:t>
      </w:r>
    </w:p>
  </w:footnote>
  <w:footnote w:id="12">
    <w:p w14:paraId="5C614958" w14:textId="77777777" w:rsidR="00E005FA" w:rsidRPr="009C53DC" w:rsidRDefault="00E005FA" w:rsidP="00671FE7">
      <w:pPr>
        <w:pStyle w:val="FootnoteText"/>
        <w:ind w:left="567" w:hanging="567"/>
        <w:rPr>
          <w:rStyle w:val="Hyperlink"/>
          <w:szCs w:val="24"/>
        </w:rPr>
      </w:pPr>
      <w:r w:rsidRPr="007827C8">
        <w:rPr>
          <w:rFonts w:ascii="Verdana" w:hAnsi="Verdana"/>
          <w:sz w:val="16"/>
          <w:szCs w:val="16"/>
        </w:rPr>
        <w:t>(</w:t>
      </w:r>
      <w:r w:rsidRPr="007827C8">
        <w:rPr>
          <w:rStyle w:val="FootnoteReference"/>
          <w:rFonts w:ascii="Verdana" w:hAnsi="Verdana"/>
          <w:sz w:val="16"/>
          <w:szCs w:val="16"/>
        </w:rPr>
        <w:footnoteRef/>
      </w:r>
      <w:r w:rsidRPr="007827C8">
        <w:rPr>
          <w:rFonts w:ascii="Verdana" w:hAnsi="Verdana"/>
          <w:sz w:val="16"/>
          <w:szCs w:val="16"/>
        </w:rPr>
        <w:t>)</w:t>
      </w:r>
      <w:r>
        <w:t xml:space="preserve"> </w:t>
      </w:r>
      <w:r>
        <w:tab/>
      </w:r>
      <w:hyperlink r:id="rId10" w:history="1">
        <w:r w:rsidRPr="007827C8">
          <w:rPr>
            <w:rStyle w:val="Hyperlink"/>
            <w:rFonts w:ascii="Verdana" w:hAnsi="Verdana"/>
            <w:sz w:val="16"/>
            <w:szCs w:val="16"/>
          </w:rPr>
          <w:t>http://acm.eionet.europa.eu/docs/ETCACM_EU-ETS_translation_of_activity_codes_April_2016_for_publication.pdf</w:t>
        </w:r>
      </w:hyperlink>
    </w:p>
  </w:footnote>
  <w:footnote w:id="13">
    <w:p w14:paraId="1B479F85" w14:textId="77777777" w:rsidR="00E005FA" w:rsidRPr="004135AF" w:rsidRDefault="00E005FA" w:rsidP="00671FE7">
      <w:pPr>
        <w:pStyle w:val="FootnoteText"/>
      </w:pPr>
      <w:r w:rsidRPr="004135AF">
        <w:rPr>
          <w:rFonts w:ascii="Verdana" w:hAnsi="Verdana"/>
          <w:sz w:val="16"/>
          <w:szCs w:val="16"/>
        </w:rPr>
        <w:t>(</w:t>
      </w:r>
      <w:r w:rsidRPr="004135AF">
        <w:rPr>
          <w:rFonts w:ascii="Verdana" w:hAnsi="Verdana"/>
          <w:sz w:val="16"/>
          <w:szCs w:val="16"/>
          <w:vertAlign w:val="superscript"/>
        </w:rPr>
        <w:footnoteRef/>
      </w:r>
      <w:r w:rsidRPr="004135AF">
        <w:rPr>
          <w:rFonts w:ascii="Verdana" w:hAnsi="Verdana"/>
          <w:sz w:val="16"/>
          <w:szCs w:val="16"/>
        </w:rPr>
        <w:t>)</w:t>
      </w:r>
      <w:r>
        <w:t xml:space="preserve">      </w:t>
      </w:r>
      <w:hyperlink r:id="rId11" w:history="1">
        <w:r w:rsidRPr="004135AF">
          <w:rPr>
            <w:rFonts w:ascii="Verdana" w:hAnsi="Verdana"/>
            <w:sz w:val="16"/>
            <w:szCs w:val="16"/>
          </w:rPr>
          <w:t>see</w:t>
        </w:r>
      </w:hyperlink>
      <w:r w:rsidRPr="004135AF">
        <w:rPr>
          <w:rFonts w:ascii="Verdana" w:hAnsi="Verdana"/>
          <w:sz w:val="16"/>
          <w:szCs w:val="16"/>
        </w:rPr>
        <w:t xml:space="preserve"> information section </w:t>
      </w:r>
      <w:r>
        <w:rPr>
          <w:rFonts w:ascii="Verdana" w:hAnsi="Verdana"/>
          <w:sz w:val="16"/>
          <w:szCs w:val="16"/>
        </w:rPr>
        <w:t xml:space="preserve">at </w:t>
      </w:r>
      <w:r w:rsidRPr="004135AF">
        <w:rPr>
          <w:rStyle w:val="Hyperlink"/>
          <w:rFonts w:ascii="Verdana" w:hAnsi="Verdana"/>
          <w:sz w:val="16"/>
        </w:rPr>
        <w:t>https://www.eea.europa.eu/data-and-maps/dashboards/emissions-trading-viewer-1</w:t>
      </w:r>
      <w:r>
        <w:rPr>
          <w:rFonts w:ascii="Verdana" w:hAnsi="Verdana"/>
          <w:sz w:val="16"/>
        </w:rPr>
        <w:t xml:space="preserve"> </w:t>
      </w:r>
      <w:r w:rsidRPr="00506BD9" w:rsidDel="00506BD9">
        <w:rPr>
          <w:rFonts w:ascii="Verdana" w:hAnsi="Verdana"/>
          <w:sz w:val="16"/>
        </w:rPr>
        <w:t xml:space="preserve"> </w:t>
      </w:r>
      <w:r>
        <w:rPr>
          <w:rFonts w:ascii="Verdana" w:hAnsi="Verdana"/>
          <w:sz w:val="16"/>
        </w:rPr>
        <w:t xml:space="preserve"> </w:t>
      </w:r>
    </w:p>
  </w:footnote>
  <w:footnote w:id="14">
    <w:p w14:paraId="5DCA13D4" w14:textId="259384CA" w:rsidR="00E005FA" w:rsidRPr="001C2FA9" w:rsidRDefault="00E005FA" w:rsidP="00671FE7">
      <w:pPr>
        <w:pStyle w:val="FootnoteText"/>
        <w:ind w:left="680" w:hanging="680"/>
        <w:jc w:val="left"/>
        <w:rPr>
          <w:rFonts w:ascii="Verdana" w:eastAsia="Times New Roman" w:hAnsi="Verdana"/>
          <w:sz w:val="16"/>
        </w:rPr>
      </w:pPr>
      <w:r w:rsidRPr="001C2FA9">
        <w:rPr>
          <w:rFonts w:ascii="Verdana" w:eastAsia="Times New Roman" w:hAnsi="Verdana"/>
          <w:sz w:val="16"/>
        </w:rPr>
        <w:t>(</w:t>
      </w:r>
      <w:r w:rsidRPr="001C2FA9">
        <w:rPr>
          <w:rFonts w:ascii="Verdana" w:eastAsia="Times New Roman" w:hAnsi="Verdana"/>
          <w:sz w:val="16"/>
          <w:vertAlign w:val="superscript"/>
        </w:rPr>
        <w:footnoteRef/>
      </w:r>
      <w:r w:rsidRPr="001C2FA9">
        <w:rPr>
          <w:rFonts w:ascii="Verdana" w:eastAsia="Times New Roman" w:hAnsi="Verdana"/>
          <w:sz w:val="16"/>
        </w:rPr>
        <w:t>)</w:t>
      </w:r>
      <w:r w:rsidRPr="001C2FA9">
        <w:rPr>
          <w:rFonts w:ascii="Verdana" w:eastAsia="Times New Roman" w:hAnsi="Verdana"/>
          <w:sz w:val="16"/>
        </w:rPr>
        <w:tab/>
        <w:t>Th</w:t>
      </w:r>
      <w:r>
        <w:rPr>
          <w:rFonts w:ascii="Verdana" w:eastAsia="Times New Roman" w:hAnsi="Verdana"/>
          <w:sz w:val="16"/>
        </w:rPr>
        <w:t>is number</w:t>
      </w:r>
      <w:r w:rsidRPr="001C2FA9">
        <w:rPr>
          <w:rFonts w:ascii="Verdana" w:eastAsia="Times New Roman" w:hAnsi="Verdana"/>
          <w:sz w:val="16"/>
        </w:rPr>
        <w:t xml:space="preserve"> includes all </w:t>
      </w:r>
      <w:r>
        <w:rPr>
          <w:rFonts w:ascii="Verdana" w:eastAsia="Times New Roman" w:hAnsi="Verdana"/>
          <w:sz w:val="16"/>
        </w:rPr>
        <w:t xml:space="preserve">non-excluded </w:t>
      </w:r>
      <w:r w:rsidRPr="001C2FA9">
        <w:rPr>
          <w:rFonts w:ascii="Verdana" w:eastAsia="Times New Roman" w:hAnsi="Verdana"/>
          <w:sz w:val="16"/>
        </w:rPr>
        <w:t xml:space="preserve">stationary installations </w:t>
      </w:r>
      <w:r w:rsidRPr="003C4571">
        <w:rPr>
          <w:rFonts w:ascii="Verdana" w:eastAsia="Times New Roman" w:hAnsi="Verdana"/>
          <w:sz w:val="16"/>
        </w:rPr>
        <w:t xml:space="preserve">with any </w:t>
      </w:r>
      <w:r>
        <w:rPr>
          <w:rFonts w:ascii="Verdana" w:eastAsia="Times New Roman" w:hAnsi="Verdana"/>
          <w:sz w:val="16"/>
        </w:rPr>
        <w:t xml:space="preserve">EU </w:t>
      </w:r>
      <w:r w:rsidRPr="003C4571">
        <w:rPr>
          <w:rFonts w:ascii="Verdana" w:eastAsia="Times New Roman" w:hAnsi="Verdana"/>
          <w:sz w:val="16"/>
        </w:rPr>
        <w:t>ETS information reported in 20</w:t>
      </w:r>
      <w:r w:rsidR="002B2D62">
        <w:rPr>
          <w:rFonts w:ascii="Verdana" w:eastAsia="Times New Roman" w:hAnsi="Verdana"/>
          <w:sz w:val="16"/>
        </w:rPr>
        <w:t>22</w:t>
      </w:r>
      <w:r>
        <w:rPr>
          <w:rFonts w:ascii="Verdana" w:eastAsia="Times New Roman" w:hAnsi="Verdana"/>
          <w:sz w:val="16"/>
        </w:rPr>
        <w:t>.</w:t>
      </w:r>
    </w:p>
  </w:footnote>
  <w:footnote w:id="15">
    <w:p w14:paraId="76872ED2" w14:textId="77777777" w:rsidR="00E005FA" w:rsidRPr="00A06E7A" w:rsidRDefault="00E005FA" w:rsidP="00DC64B3">
      <w:pPr>
        <w:pStyle w:val="FootnoteText"/>
        <w:ind w:hanging="567"/>
        <w:rPr>
          <w:sz w:val="16"/>
        </w:rPr>
      </w:pPr>
      <w:r w:rsidRPr="00A06E7A">
        <w:rPr>
          <w:sz w:val="16"/>
        </w:rPr>
        <w:t>(</w:t>
      </w:r>
      <w:r w:rsidRPr="00A06E7A">
        <w:rPr>
          <w:rStyle w:val="FootnoteReference"/>
          <w:sz w:val="16"/>
        </w:rPr>
        <w:footnoteRef/>
      </w:r>
      <w:r w:rsidRPr="00A06E7A">
        <w:rPr>
          <w:sz w:val="16"/>
        </w:rPr>
        <w:t>)</w:t>
      </w:r>
      <w:r w:rsidRPr="00A06E7A">
        <w:rPr>
          <w:sz w:val="16"/>
        </w:rPr>
        <w:tab/>
      </w:r>
      <w:hyperlink r:id="rId12" w:history="1">
        <w:r w:rsidRPr="00103C3C">
          <w:rPr>
            <w:rStyle w:val="Hyperlink"/>
            <w:sz w:val="18"/>
          </w:rPr>
          <w:t>https://www.eea.europa.eu/publications/trends-and-projections-in-the</w:t>
        </w:r>
      </w:hyperlink>
      <w:r w:rsidRPr="00103C3C">
        <w:rPr>
          <w:sz w:val="18"/>
        </w:rPr>
        <w:t xml:space="preserve"> </w:t>
      </w:r>
    </w:p>
    <w:p w14:paraId="3B1C2EF1" w14:textId="77777777" w:rsidR="00E005FA" w:rsidRPr="00DB2FF4" w:rsidRDefault="00E005FA" w:rsidP="00DC64B3">
      <w:pPr>
        <w:pStyle w:val="FootnoteText"/>
      </w:pPr>
      <w:r>
        <w:t xml:space="preserve"> </w:t>
      </w:r>
    </w:p>
  </w:footnote>
  <w:footnote w:id="16">
    <w:p w14:paraId="4341A8BF" w14:textId="77777777" w:rsidR="00E005FA" w:rsidRPr="004C0BB2" w:rsidRDefault="00E005FA" w:rsidP="00DC64B3">
      <w:pPr>
        <w:pStyle w:val="FootnoteText"/>
        <w:ind w:hanging="567"/>
      </w:pPr>
      <w:r w:rsidRPr="00FC7156">
        <w:rPr>
          <w:sz w:val="16"/>
          <w:szCs w:val="16"/>
        </w:rPr>
        <w:t>(</w:t>
      </w:r>
      <w:r w:rsidRPr="00FC7156">
        <w:rPr>
          <w:rStyle w:val="FootnoteReference"/>
          <w:sz w:val="16"/>
          <w:szCs w:val="16"/>
        </w:rPr>
        <w:footnoteRef/>
      </w:r>
      <w:r w:rsidRPr="00FC7156">
        <w:rPr>
          <w:sz w:val="16"/>
          <w:szCs w:val="16"/>
        </w:rPr>
        <w:t>)</w:t>
      </w:r>
      <w:r w:rsidRPr="00FC7156">
        <w:rPr>
          <w:sz w:val="16"/>
          <w:szCs w:val="16"/>
        </w:rPr>
        <w:tab/>
      </w:r>
      <w:hyperlink r:id="rId13" w:history="1">
        <w:r w:rsidRPr="00FC7156">
          <w:rPr>
            <w:rStyle w:val="Hyperlink"/>
            <w:sz w:val="16"/>
            <w:szCs w:val="16"/>
          </w:rPr>
          <w:t>http://eur-lex.europa.eu/legal-content/EN/TXT/PDF/?uri=CELEX:32017R2392&amp;from=EN</w:t>
        </w:r>
      </w:hyperlink>
      <w:r>
        <w:t xml:space="preserve"> </w:t>
      </w:r>
    </w:p>
  </w:footnote>
  <w:footnote w:id="17">
    <w:p w14:paraId="7E061AC7" w14:textId="77777777" w:rsidR="00E005FA" w:rsidRPr="007827C8" w:rsidRDefault="00E005FA" w:rsidP="00FD3B8A">
      <w:pPr>
        <w:pStyle w:val="FootnoteText"/>
        <w:ind w:hanging="539"/>
        <w:rPr>
          <w:rFonts w:ascii="Verdana" w:hAnsi="Verdana"/>
          <w:sz w:val="16"/>
          <w:szCs w:val="16"/>
        </w:rPr>
      </w:pPr>
      <w:r w:rsidRPr="007827C8">
        <w:rPr>
          <w:rFonts w:ascii="Verdana" w:hAnsi="Verdana"/>
          <w:sz w:val="16"/>
          <w:szCs w:val="16"/>
        </w:rPr>
        <w:t>(</w:t>
      </w:r>
      <w:r w:rsidRPr="007827C8">
        <w:rPr>
          <w:rFonts w:ascii="Verdana" w:hAnsi="Verdana"/>
          <w:sz w:val="16"/>
          <w:szCs w:val="16"/>
          <w:vertAlign w:val="superscript"/>
        </w:rPr>
        <w:footnoteRef/>
      </w:r>
      <w:r w:rsidRPr="007827C8">
        <w:rPr>
          <w:rFonts w:ascii="Verdana" w:hAnsi="Verdana"/>
          <w:sz w:val="16"/>
          <w:szCs w:val="16"/>
        </w:rPr>
        <w:t xml:space="preserve">) </w:t>
      </w:r>
      <w:r w:rsidRPr="007827C8">
        <w:rPr>
          <w:rFonts w:ascii="Verdana" w:hAnsi="Verdana"/>
          <w:sz w:val="16"/>
          <w:szCs w:val="16"/>
        </w:rPr>
        <w:tab/>
        <w:t xml:space="preserve">Auctions in Germany in 2008 include sales of 8.125 million EUA by the </w:t>
      </w:r>
      <w:proofErr w:type="spellStart"/>
      <w:r w:rsidRPr="007827C8">
        <w:rPr>
          <w:rFonts w:ascii="Verdana" w:hAnsi="Verdana"/>
          <w:sz w:val="16"/>
          <w:szCs w:val="16"/>
        </w:rPr>
        <w:t>KfW</w:t>
      </w:r>
      <w:proofErr w:type="spellEnd"/>
      <w:r w:rsidRPr="007827C8">
        <w:rPr>
          <w:rFonts w:ascii="Verdana" w:hAnsi="Verdana"/>
          <w:sz w:val="16"/>
          <w:szCs w:val="16"/>
        </w:rPr>
        <w:t xml:space="preserve"> to compensate for costs of the replenishment of the NER in period I. Source (page 69): </w:t>
      </w:r>
    </w:p>
    <w:p w14:paraId="4B3E5235" w14:textId="77777777" w:rsidR="00E005FA" w:rsidRPr="00111B56" w:rsidRDefault="00B34E6F" w:rsidP="00FD3B8A">
      <w:pPr>
        <w:pStyle w:val="FootnoteText"/>
        <w:rPr>
          <w:rFonts w:ascii="Verdana" w:hAnsi="Verdana"/>
          <w:sz w:val="16"/>
          <w:szCs w:val="16"/>
        </w:rPr>
      </w:pPr>
      <w:hyperlink r:id="rId14" w:history="1">
        <w:r w:rsidR="00E005FA" w:rsidRPr="007827C8">
          <w:rPr>
            <w:rStyle w:val="Hyperlink"/>
            <w:rFonts w:ascii="Verdana" w:hAnsi="Verdana"/>
            <w:sz w:val="16"/>
            <w:szCs w:val="16"/>
          </w:rPr>
          <w:t>http://www.dehst.de/cln_162/SharedDocs/Downloads/Publikationen/Auswertung__1__Handelsperiode,templateId=raw,property=publicationFile.pdf/Auswertung_1_Handelsperiode.pdf</w:t>
        </w:r>
      </w:hyperlink>
      <w:r w:rsidR="00E005FA" w:rsidRPr="00111B56">
        <w:rPr>
          <w:rFonts w:ascii="Verdana" w:hAnsi="Verdana"/>
          <w:sz w:val="16"/>
          <w:szCs w:val="16"/>
        </w:rPr>
        <w:t xml:space="preserve"> </w:t>
      </w:r>
    </w:p>
  </w:footnote>
  <w:footnote w:id="18">
    <w:p w14:paraId="0F0FC4C5" w14:textId="77777777" w:rsidR="00E005FA" w:rsidRPr="00FC7156" w:rsidRDefault="00E005FA" w:rsidP="00FD3B8A">
      <w:pPr>
        <w:pStyle w:val="FootnoteText"/>
        <w:tabs>
          <w:tab w:val="left" w:pos="540"/>
        </w:tabs>
        <w:ind w:hanging="539"/>
        <w:rPr>
          <w:rFonts w:ascii="Verdana" w:hAnsi="Verdana"/>
          <w:sz w:val="16"/>
          <w:szCs w:val="16"/>
        </w:rPr>
      </w:pPr>
      <w:r w:rsidRPr="00FC7156">
        <w:rPr>
          <w:rFonts w:ascii="Verdana" w:hAnsi="Verdana"/>
          <w:sz w:val="16"/>
          <w:szCs w:val="16"/>
        </w:rPr>
        <w:t>(</w:t>
      </w:r>
      <w:r w:rsidRPr="00FC7156">
        <w:rPr>
          <w:rStyle w:val="FootnoteReference"/>
          <w:rFonts w:ascii="Verdana" w:hAnsi="Verdana"/>
          <w:sz w:val="16"/>
          <w:szCs w:val="16"/>
        </w:rPr>
        <w:footnoteRef/>
      </w:r>
      <w:r w:rsidRPr="00FC7156">
        <w:rPr>
          <w:rFonts w:ascii="Verdana" w:hAnsi="Verdana"/>
          <w:sz w:val="16"/>
          <w:szCs w:val="16"/>
        </w:rPr>
        <w:t>)</w:t>
      </w:r>
      <w:r w:rsidRPr="00FC7156">
        <w:rPr>
          <w:rFonts w:ascii="Verdana" w:hAnsi="Verdana"/>
          <w:sz w:val="16"/>
          <w:szCs w:val="16"/>
        </w:rPr>
        <w:tab/>
      </w:r>
      <w:hyperlink r:id="rId15" w:history="1">
        <w:r w:rsidRPr="00FC7156">
          <w:rPr>
            <w:rStyle w:val="Hyperlink"/>
            <w:rFonts w:ascii="Verdana" w:hAnsi="Verdana"/>
            <w:sz w:val="16"/>
            <w:szCs w:val="16"/>
          </w:rPr>
          <w:t>www.eex.com</w:t>
        </w:r>
      </w:hyperlink>
      <w:r w:rsidRPr="00FC7156">
        <w:rPr>
          <w:rFonts w:ascii="Verdana" w:hAnsi="Verdana"/>
          <w:sz w:val="16"/>
          <w:szCs w:val="16"/>
        </w:rPr>
        <w:t xml:space="preserve">; </w:t>
      </w:r>
      <w:hyperlink r:id="rId16" w:history="1">
        <w:r w:rsidRPr="00FC7156">
          <w:rPr>
            <w:rStyle w:val="Hyperlink"/>
            <w:rFonts w:ascii="Verdana" w:hAnsi="Verdana"/>
            <w:sz w:val="16"/>
            <w:szCs w:val="16"/>
          </w:rPr>
          <w:t>www.theice.com</w:t>
        </w:r>
      </w:hyperlink>
      <w:r w:rsidRPr="00FC7156">
        <w:rPr>
          <w:rFonts w:ascii="Verdana" w:hAnsi="Verdana"/>
          <w:sz w:val="16"/>
          <w:szCs w:val="16"/>
        </w:rPr>
        <w:t xml:space="preserve"> </w:t>
      </w:r>
    </w:p>
  </w:footnote>
  <w:footnote w:id="19">
    <w:p w14:paraId="6AFC707D" w14:textId="77777777" w:rsidR="00E005FA" w:rsidRPr="00FC7156" w:rsidRDefault="00E005FA" w:rsidP="00FD3B8A">
      <w:pPr>
        <w:pStyle w:val="FootnoteText"/>
        <w:ind w:hanging="539"/>
        <w:rPr>
          <w:rFonts w:ascii="Verdana" w:hAnsi="Verdana"/>
          <w:color w:val="0000FF" w:themeColor="hyperlink"/>
          <w:sz w:val="16"/>
          <w:szCs w:val="16"/>
          <w:u w:val="single"/>
        </w:rPr>
      </w:pPr>
      <w:r w:rsidRPr="00FC7156">
        <w:rPr>
          <w:rFonts w:ascii="Verdana" w:hAnsi="Verdana"/>
          <w:sz w:val="16"/>
          <w:szCs w:val="16"/>
        </w:rPr>
        <w:t>(</w:t>
      </w:r>
      <w:r w:rsidRPr="00FC7156">
        <w:rPr>
          <w:rStyle w:val="FootnoteReference"/>
          <w:rFonts w:ascii="Verdana" w:hAnsi="Verdana"/>
          <w:sz w:val="16"/>
          <w:szCs w:val="16"/>
        </w:rPr>
        <w:footnoteRef/>
      </w:r>
      <w:r w:rsidRPr="00FC7156">
        <w:rPr>
          <w:rFonts w:ascii="Verdana" w:hAnsi="Verdana"/>
          <w:sz w:val="16"/>
          <w:szCs w:val="16"/>
        </w:rPr>
        <w:t>)</w:t>
      </w:r>
      <w:r w:rsidRPr="00FC7156">
        <w:rPr>
          <w:rFonts w:ascii="Verdana" w:hAnsi="Verdana"/>
          <w:sz w:val="16"/>
          <w:szCs w:val="16"/>
        </w:rPr>
        <w:tab/>
        <w:t xml:space="preserve">Summary report on the </w:t>
      </w:r>
      <w:proofErr w:type="spellStart"/>
      <w:r w:rsidRPr="00FC7156">
        <w:rPr>
          <w:rFonts w:ascii="Verdana" w:hAnsi="Verdana"/>
          <w:sz w:val="16"/>
          <w:szCs w:val="16"/>
        </w:rPr>
        <w:t>monetisation</w:t>
      </w:r>
      <w:proofErr w:type="spellEnd"/>
      <w:r w:rsidRPr="00FC7156">
        <w:rPr>
          <w:rFonts w:ascii="Verdana" w:hAnsi="Verdana"/>
          <w:sz w:val="16"/>
          <w:szCs w:val="16"/>
        </w:rPr>
        <w:t xml:space="preserve"> of 300 million EU allowances (EUAs), European Investment Bank. </w:t>
      </w:r>
      <w:r w:rsidRPr="00FC7156">
        <w:rPr>
          <w:rStyle w:val="Hyperlink"/>
          <w:rFonts w:ascii="Verdana" w:hAnsi="Verdana"/>
          <w:sz w:val="16"/>
          <w:szCs w:val="16"/>
        </w:rPr>
        <w:t>http://www.eib.org/ attachments/ ner_summary_report_en.pdf</w:t>
      </w:r>
    </w:p>
  </w:footnote>
  <w:footnote w:id="20">
    <w:p w14:paraId="576EF6DA" w14:textId="77777777" w:rsidR="00E005FA" w:rsidRPr="007827C8" w:rsidRDefault="00E005FA" w:rsidP="00503ADF">
      <w:pPr>
        <w:pStyle w:val="FootnoteText"/>
        <w:rPr>
          <w:rFonts w:ascii="Verdana" w:hAnsi="Verdana"/>
          <w:sz w:val="16"/>
          <w:szCs w:val="16"/>
        </w:rPr>
      </w:pPr>
      <w:r w:rsidRPr="007827C8">
        <w:rPr>
          <w:rFonts w:ascii="Verdana" w:hAnsi="Verdana"/>
          <w:sz w:val="16"/>
          <w:szCs w:val="16"/>
        </w:rPr>
        <w:t>(</w:t>
      </w:r>
      <w:r w:rsidRPr="007827C8">
        <w:rPr>
          <w:rStyle w:val="FootnoteReference"/>
          <w:rFonts w:ascii="Verdana" w:hAnsi="Verdana"/>
          <w:sz w:val="16"/>
          <w:szCs w:val="16"/>
        </w:rPr>
        <w:footnoteRef/>
      </w:r>
      <w:r w:rsidRPr="007827C8">
        <w:rPr>
          <w:rFonts w:ascii="Verdana" w:hAnsi="Verdana"/>
          <w:sz w:val="16"/>
          <w:szCs w:val="16"/>
        </w:rPr>
        <w:t>)</w:t>
      </w:r>
      <w:r>
        <w:rPr>
          <w:rFonts w:ascii="Verdana" w:hAnsi="Verdana"/>
          <w:sz w:val="16"/>
          <w:szCs w:val="16"/>
        </w:rPr>
        <w:t xml:space="preserve"> </w:t>
      </w:r>
      <w:hyperlink r:id="rId17" w:history="1">
        <w:r w:rsidRPr="004135AF">
          <w:rPr>
            <w:rFonts w:ascii="Verdana" w:hAnsi="Verdana"/>
            <w:sz w:val="16"/>
            <w:szCs w:val="16"/>
          </w:rPr>
          <w:t>see</w:t>
        </w:r>
      </w:hyperlink>
      <w:r w:rsidRPr="004135AF">
        <w:rPr>
          <w:rFonts w:ascii="Verdana" w:hAnsi="Verdana"/>
          <w:sz w:val="16"/>
          <w:szCs w:val="16"/>
        </w:rPr>
        <w:t xml:space="preserve"> information section </w:t>
      </w:r>
      <w:r>
        <w:rPr>
          <w:rFonts w:ascii="Verdana" w:hAnsi="Verdana"/>
          <w:sz w:val="16"/>
          <w:szCs w:val="16"/>
        </w:rPr>
        <w:t xml:space="preserve">at </w:t>
      </w:r>
      <w:r w:rsidRPr="004135AF">
        <w:rPr>
          <w:rStyle w:val="Hyperlink"/>
          <w:rFonts w:ascii="Verdana" w:hAnsi="Verdana"/>
          <w:sz w:val="16"/>
        </w:rPr>
        <w:t>https://www.eea.europa.eu/data-and-maps/dashboards/emissions-trading-viewer-1</w:t>
      </w:r>
      <w:r>
        <w:rPr>
          <w:rFonts w:ascii="Verdana" w:hAnsi="Verdana"/>
          <w:sz w:val="16"/>
        </w:rPr>
        <w:t xml:space="preserve"> </w:t>
      </w:r>
      <w:r w:rsidRPr="00506BD9" w:rsidDel="00506BD9">
        <w:rPr>
          <w:rFonts w:ascii="Verdana" w:hAnsi="Verdana"/>
          <w:sz w:val="16"/>
        </w:rPr>
        <w:t xml:space="preserve"> </w:t>
      </w:r>
      <w:r>
        <w:rPr>
          <w:rFonts w:ascii="Verdana" w:hAnsi="Verdana"/>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C7EBA" w14:textId="77777777" w:rsidR="00E005FA" w:rsidRPr="003E25FF" w:rsidRDefault="00E005FA" w:rsidP="00B24722">
    <w:pPr>
      <w:pStyle w:val="Header"/>
      <w:rPr>
        <w:sz w:val="18"/>
        <w:szCs w:val="18"/>
      </w:rPr>
    </w:pPr>
  </w:p>
  <w:p w14:paraId="7F865EF6" w14:textId="77777777" w:rsidR="00E005FA" w:rsidRDefault="00E005FA" w:rsidP="00B24722">
    <w:pPr>
      <w:pStyle w:val="BasicParagraph"/>
      <w:tabs>
        <w:tab w:val="left" w:pos="8647"/>
      </w:tabs>
      <w:jc w:val="right"/>
      <w:rPr>
        <w:rFonts w:ascii="OpenSans" w:hAnsi="OpenSans" w:cs="OpenSans"/>
        <w:sz w:val="18"/>
        <w:szCs w:val="18"/>
      </w:rPr>
    </w:pPr>
  </w:p>
  <w:p w14:paraId="60F608D0" w14:textId="77777777" w:rsidR="00E005FA" w:rsidRPr="005A6BFC" w:rsidRDefault="00E005FA" w:rsidP="00B24722">
    <w:pPr>
      <w:pStyle w:val="BasicParagraph"/>
      <w:tabs>
        <w:tab w:val="left" w:pos="8647"/>
      </w:tabs>
      <w:jc w:val="right"/>
      <w:rPr>
        <w:rFonts w:ascii="OpenSans" w:hAnsi="OpenSans" w:cs="OpenSans"/>
        <w:sz w:val="18"/>
        <w:szCs w:val="18"/>
        <w:lang w:val="en-GB"/>
      </w:rPr>
    </w:pPr>
  </w:p>
  <w:p w14:paraId="42D1F8B9" w14:textId="45E1C7C6" w:rsidR="00E005FA" w:rsidRDefault="00E005FA" w:rsidP="00D1717E">
    <w:pPr>
      <w:pStyle w:val="BasicParagraph"/>
      <w:tabs>
        <w:tab w:val="left" w:pos="8647"/>
      </w:tabs>
      <w:ind w:left="3515"/>
      <w:jc w:val="right"/>
      <w:rPr>
        <w:rFonts w:ascii="Calibri" w:hAnsi="Calibri" w:cs="OpenSans"/>
        <w:szCs w:val="18"/>
        <w:lang w:val="fr-FR"/>
      </w:rPr>
    </w:pPr>
    <w:r w:rsidRPr="00BF1075">
      <w:rPr>
        <w:rFonts w:ascii="Calibri" w:hAnsi="Calibri" w:cs="OpenSans"/>
        <w:szCs w:val="18"/>
        <w:lang w:val="fr-FR"/>
      </w:rPr>
      <w:t>Eionet Report - ETC/</w:t>
    </w:r>
    <w:r>
      <w:rPr>
        <w:rFonts w:ascii="Calibri" w:hAnsi="Calibri" w:cs="OpenSans"/>
        <w:szCs w:val="18"/>
        <w:lang w:val="fr-FR"/>
      </w:rPr>
      <w:t>CA</w:t>
    </w:r>
    <w:r w:rsidRPr="00BF1075">
      <w:rPr>
        <w:rFonts w:ascii="Calibri" w:hAnsi="Calibri" w:cs="OpenSans"/>
        <w:szCs w:val="18"/>
        <w:lang w:val="fr-FR"/>
      </w:rPr>
      <w:t xml:space="preserve"> 20</w:t>
    </w:r>
    <w:r>
      <w:rPr>
        <w:rFonts w:ascii="Calibri" w:hAnsi="Calibri" w:cs="OpenSans"/>
        <w:szCs w:val="18"/>
        <w:lang w:val="fr-FR"/>
      </w:rPr>
      <w:t>22</w:t>
    </w:r>
    <w:r w:rsidRPr="00BF1075">
      <w:rPr>
        <w:rFonts w:ascii="Calibri" w:hAnsi="Calibri" w:cs="OpenSans"/>
        <w:szCs w:val="18"/>
        <w:lang w:val="fr-FR"/>
      </w:rPr>
      <w:t>/</w:t>
    </w:r>
    <w:r>
      <w:rPr>
        <w:rFonts w:ascii="Calibri" w:hAnsi="Calibri" w:cs="OpenSans"/>
        <w:szCs w:val="18"/>
        <w:lang w:val="fr-FR"/>
      </w:rPr>
      <w:t xml:space="preserve">XX </w:t>
    </w:r>
  </w:p>
  <w:p w14:paraId="293EA403" w14:textId="77777777" w:rsidR="00E005FA" w:rsidRPr="00BF1075" w:rsidRDefault="00E005FA" w:rsidP="00D1717E">
    <w:pPr>
      <w:pStyle w:val="BasicParagraph"/>
      <w:tabs>
        <w:tab w:val="left" w:pos="8647"/>
      </w:tabs>
      <w:ind w:left="3515"/>
      <w:jc w:val="right"/>
      <w:rPr>
        <w:rFonts w:ascii="Calibri" w:hAnsi="Calibri" w:cs="OpenSans"/>
        <w:sz w:val="36"/>
        <w:szCs w:val="36"/>
        <w:lang w:val="fr-FR"/>
      </w:rPr>
    </w:pPr>
  </w:p>
  <w:p w14:paraId="0C3FB58A" w14:textId="77777777" w:rsidR="00E005FA" w:rsidRDefault="00E005FA" w:rsidP="005979F5">
    <w:pPr>
      <w:pStyle w:val="BasicParagraph"/>
      <w:suppressAutoHyphens/>
      <w:ind w:left="1418"/>
      <w:rPr>
        <w:rFonts w:asciiTheme="majorHAnsi" w:eastAsia="Times New Roman" w:hAnsiTheme="majorHAnsi" w:cstheme="majorHAnsi"/>
        <w:sz w:val="40"/>
        <w:szCs w:val="36"/>
        <w:lang w:val="fr-FR" w:eastAsia="pt-PT"/>
      </w:rPr>
    </w:pPr>
  </w:p>
  <w:p w14:paraId="03242AEE" w14:textId="77777777" w:rsidR="00E005FA" w:rsidRDefault="00E005FA" w:rsidP="005979F5">
    <w:pPr>
      <w:pStyle w:val="BasicParagraph"/>
      <w:suppressAutoHyphens/>
      <w:ind w:left="1418"/>
      <w:rPr>
        <w:rFonts w:asciiTheme="majorHAnsi" w:eastAsia="Times New Roman" w:hAnsiTheme="majorHAnsi" w:cstheme="majorHAnsi"/>
        <w:sz w:val="40"/>
        <w:szCs w:val="36"/>
        <w:lang w:val="fr-FR" w:eastAsia="pt-PT"/>
      </w:rPr>
    </w:pPr>
  </w:p>
  <w:p w14:paraId="1D8F9DFE" w14:textId="77777777" w:rsidR="00E005FA" w:rsidRPr="009F0DB0" w:rsidRDefault="00E005FA" w:rsidP="005979F5">
    <w:pPr>
      <w:pStyle w:val="BasicParagraph"/>
      <w:suppressAutoHyphens/>
      <w:ind w:left="1418"/>
      <w:rPr>
        <w:rFonts w:asciiTheme="majorHAnsi" w:hAnsiTheme="majorHAnsi" w:cstheme="majorHAnsi"/>
        <w:sz w:val="36"/>
        <w:szCs w:val="36"/>
        <w:lang w:val="fr-FR"/>
      </w:rPr>
    </w:pPr>
  </w:p>
  <w:p w14:paraId="29ACCF3A" w14:textId="77777777" w:rsidR="00E005FA" w:rsidRPr="009F0DB0" w:rsidRDefault="00E005FA" w:rsidP="00B24722">
    <w:pPr>
      <w:pStyle w:val="BasicParagraph"/>
      <w:suppressAutoHyphens/>
      <w:ind w:left="-1247" w:right="-1786"/>
      <w:rPr>
        <w:rFonts w:ascii="OpenSans" w:hAnsi="OpenSans" w:cs="OpenSans"/>
        <w:sz w:val="36"/>
        <w:szCs w:val="36"/>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A1553" w14:textId="77777777" w:rsidR="00E005FA" w:rsidRDefault="00E005FA" w:rsidP="00FA4309">
    <w:pPr>
      <w:pStyle w:val="Header"/>
      <w:jc w:val="right"/>
    </w:pPr>
  </w:p>
  <w:p w14:paraId="51F21389" w14:textId="77777777" w:rsidR="00E005FA" w:rsidRDefault="00E005FA" w:rsidP="00FA4309">
    <w:pPr>
      <w:pStyle w:val="Header"/>
      <w:jc w:val="right"/>
    </w:pPr>
  </w:p>
  <w:p w14:paraId="686447A4" w14:textId="0C9F1770" w:rsidR="00E005FA" w:rsidRDefault="00E005FA" w:rsidP="00FA4309">
    <w:pPr>
      <w:pStyle w:val="Header"/>
      <w:jc w:val="right"/>
      <w:rPr>
        <w:color w:val="007B6C"/>
      </w:rPr>
    </w:pPr>
    <w:r>
      <w:rPr>
        <w:color w:val="007B6C"/>
      </w:rPr>
      <w:t xml:space="preserve">Working Paper – </w:t>
    </w:r>
    <w:r w:rsidRPr="00FA4309">
      <w:rPr>
        <w:color w:val="007B6C"/>
      </w:rPr>
      <w:t>ET</w:t>
    </w:r>
    <w:r>
      <w:rPr>
        <w:color w:val="007B6C"/>
      </w:rPr>
      <w:t xml:space="preserve">C/CM </w:t>
    </w:r>
    <w:r w:rsidR="00371A8D">
      <w:rPr>
        <w:color w:val="007B6C"/>
      </w:rPr>
      <w:t>May2023</w:t>
    </w:r>
  </w:p>
  <w:p w14:paraId="66248D83" w14:textId="77777777" w:rsidR="00BF3EE9" w:rsidRPr="00FA4309" w:rsidRDefault="00BF3EE9" w:rsidP="00FA4309">
    <w:pPr>
      <w:pStyle w:val="Header"/>
      <w:jc w:val="right"/>
      <w:rPr>
        <w:color w:val="007B6C"/>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368F4" w14:textId="77777777" w:rsidR="00E005FA" w:rsidRPr="002E4A2B" w:rsidRDefault="00E005FA" w:rsidP="002E4A2B">
    <w:pPr>
      <w:pStyle w:val="Header"/>
      <w:rPr>
        <w:szCs w:val="3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9B2C6" w14:textId="77777777" w:rsidR="00E005FA" w:rsidRDefault="00E005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11328" w14:textId="77777777" w:rsidR="00E005FA" w:rsidRPr="00886111" w:rsidRDefault="00E005FA">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A7ACC"/>
    <w:multiLevelType w:val="hybridMultilevel"/>
    <w:tmpl w:val="92DC8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9F3DE0"/>
    <w:multiLevelType w:val="hybridMultilevel"/>
    <w:tmpl w:val="E5E66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67933A3"/>
    <w:multiLevelType w:val="hybridMultilevel"/>
    <w:tmpl w:val="59C68F5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613A64"/>
    <w:multiLevelType w:val="hybridMultilevel"/>
    <w:tmpl w:val="9B5A4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F23F23"/>
    <w:multiLevelType w:val="hybridMultilevel"/>
    <w:tmpl w:val="4C88716A"/>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3F1E9B"/>
    <w:multiLevelType w:val="hybridMultilevel"/>
    <w:tmpl w:val="CA1402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5574B3B"/>
    <w:multiLevelType w:val="hybridMultilevel"/>
    <w:tmpl w:val="257423C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7E2A7FE8">
      <w:numFmt w:val="bullet"/>
      <w:lvlText w:val="•"/>
      <w:lvlJc w:val="left"/>
      <w:pPr>
        <w:ind w:left="2520" w:hanging="720"/>
      </w:pPr>
      <w:rPr>
        <w:rFonts w:ascii="Palatino Linotype" w:eastAsia="Times New Roman" w:hAnsi="Palatino Linotype"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A25FE4"/>
    <w:multiLevelType w:val="hybridMultilevel"/>
    <w:tmpl w:val="4882155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16cid:durableId="1318848212">
    <w:abstractNumId w:val="0"/>
  </w:num>
  <w:num w:numId="2" w16cid:durableId="476537382">
    <w:abstractNumId w:val="3"/>
  </w:num>
  <w:num w:numId="3" w16cid:durableId="1377464830">
    <w:abstractNumId w:val="7"/>
  </w:num>
  <w:num w:numId="4" w16cid:durableId="139854506">
    <w:abstractNumId w:val="2"/>
  </w:num>
  <w:num w:numId="5" w16cid:durableId="472406585">
    <w:abstractNumId w:val="5"/>
  </w:num>
  <w:num w:numId="6" w16cid:durableId="323163748">
    <w:abstractNumId w:val="1"/>
  </w:num>
  <w:num w:numId="7" w16cid:durableId="4526413">
    <w:abstractNumId w:val="6"/>
  </w:num>
  <w:num w:numId="8" w16cid:durableId="10291879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1"/>
  <w:drawingGridVerticalSpacing w:val="181"/>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95F"/>
    <w:rsid w:val="000071B4"/>
    <w:rsid w:val="00010390"/>
    <w:rsid w:val="000103EA"/>
    <w:rsid w:val="00010D45"/>
    <w:rsid w:val="000218B1"/>
    <w:rsid w:val="00056CE5"/>
    <w:rsid w:val="00081A6D"/>
    <w:rsid w:val="00086618"/>
    <w:rsid w:val="0009030D"/>
    <w:rsid w:val="000951AC"/>
    <w:rsid w:val="000C3350"/>
    <w:rsid w:val="000D7011"/>
    <w:rsid w:val="000F76CB"/>
    <w:rsid w:val="00104BA0"/>
    <w:rsid w:val="00105788"/>
    <w:rsid w:val="0011140D"/>
    <w:rsid w:val="00113C1F"/>
    <w:rsid w:val="00116C2A"/>
    <w:rsid w:val="0012559F"/>
    <w:rsid w:val="00154520"/>
    <w:rsid w:val="00172C38"/>
    <w:rsid w:val="00184289"/>
    <w:rsid w:val="00185C4A"/>
    <w:rsid w:val="001A11E1"/>
    <w:rsid w:val="001A5B01"/>
    <w:rsid w:val="001E646C"/>
    <w:rsid w:val="001F1481"/>
    <w:rsid w:val="002161C9"/>
    <w:rsid w:val="002229C2"/>
    <w:rsid w:val="00237EC6"/>
    <w:rsid w:val="00246B7D"/>
    <w:rsid w:val="00253D57"/>
    <w:rsid w:val="002542BF"/>
    <w:rsid w:val="00254833"/>
    <w:rsid w:val="0026467C"/>
    <w:rsid w:val="002823F5"/>
    <w:rsid w:val="002950C9"/>
    <w:rsid w:val="002A7437"/>
    <w:rsid w:val="002B2D62"/>
    <w:rsid w:val="002B3863"/>
    <w:rsid w:val="002E281C"/>
    <w:rsid w:val="002E4A2B"/>
    <w:rsid w:val="002F0363"/>
    <w:rsid w:val="002F48F1"/>
    <w:rsid w:val="00317604"/>
    <w:rsid w:val="00321498"/>
    <w:rsid w:val="00342686"/>
    <w:rsid w:val="00371A8D"/>
    <w:rsid w:val="003755C9"/>
    <w:rsid w:val="00383D08"/>
    <w:rsid w:val="003901FF"/>
    <w:rsid w:val="00396781"/>
    <w:rsid w:val="003A6ACB"/>
    <w:rsid w:val="003B107A"/>
    <w:rsid w:val="003C1E5A"/>
    <w:rsid w:val="003D3B2C"/>
    <w:rsid w:val="003E111F"/>
    <w:rsid w:val="003E25FF"/>
    <w:rsid w:val="003E2DFE"/>
    <w:rsid w:val="003F155B"/>
    <w:rsid w:val="003F2F8B"/>
    <w:rsid w:val="004010AB"/>
    <w:rsid w:val="00410401"/>
    <w:rsid w:val="004342E7"/>
    <w:rsid w:val="00445D3E"/>
    <w:rsid w:val="00447B3C"/>
    <w:rsid w:val="004618D0"/>
    <w:rsid w:val="00464DF3"/>
    <w:rsid w:val="004735E4"/>
    <w:rsid w:val="00474E80"/>
    <w:rsid w:val="004812D5"/>
    <w:rsid w:val="00491628"/>
    <w:rsid w:val="004953ED"/>
    <w:rsid w:val="00497B83"/>
    <w:rsid w:val="004C0FF1"/>
    <w:rsid w:val="004D6420"/>
    <w:rsid w:val="004E4053"/>
    <w:rsid w:val="004E59A1"/>
    <w:rsid w:val="00500D6E"/>
    <w:rsid w:val="00503ADF"/>
    <w:rsid w:val="00503D42"/>
    <w:rsid w:val="00516CFD"/>
    <w:rsid w:val="005506C5"/>
    <w:rsid w:val="00560711"/>
    <w:rsid w:val="00566B73"/>
    <w:rsid w:val="00571E2D"/>
    <w:rsid w:val="00583A88"/>
    <w:rsid w:val="00586945"/>
    <w:rsid w:val="00592645"/>
    <w:rsid w:val="005979F5"/>
    <w:rsid w:val="005A0ED4"/>
    <w:rsid w:val="005A54C6"/>
    <w:rsid w:val="005A603E"/>
    <w:rsid w:val="005A6BFC"/>
    <w:rsid w:val="005C215E"/>
    <w:rsid w:val="005C57A4"/>
    <w:rsid w:val="005D78E8"/>
    <w:rsid w:val="00612B20"/>
    <w:rsid w:val="00637754"/>
    <w:rsid w:val="006436B7"/>
    <w:rsid w:val="006477ED"/>
    <w:rsid w:val="00671FE7"/>
    <w:rsid w:val="00684FC7"/>
    <w:rsid w:val="006979B4"/>
    <w:rsid w:val="006F34D9"/>
    <w:rsid w:val="006F6984"/>
    <w:rsid w:val="00700445"/>
    <w:rsid w:val="007020B6"/>
    <w:rsid w:val="00704803"/>
    <w:rsid w:val="00722F51"/>
    <w:rsid w:val="00724FF3"/>
    <w:rsid w:val="00747C6C"/>
    <w:rsid w:val="007803E4"/>
    <w:rsid w:val="007A1B5D"/>
    <w:rsid w:val="007A2A07"/>
    <w:rsid w:val="007C1EB7"/>
    <w:rsid w:val="007E3F52"/>
    <w:rsid w:val="00823C38"/>
    <w:rsid w:val="00824E0D"/>
    <w:rsid w:val="00842E51"/>
    <w:rsid w:val="00844A94"/>
    <w:rsid w:val="008515CD"/>
    <w:rsid w:val="00872F6A"/>
    <w:rsid w:val="00886111"/>
    <w:rsid w:val="00890312"/>
    <w:rsid w:val="008939BE"/>
    <w:rsid w:val="00896C72"/>
    <w:rsid w:val="008A1930"/>
    <w:rsid w:val="008C2449"/>
    <w:rsid w:val="008E5135"/>
    <w:rsid w:val="00925034"/>
    <w:rsid w:val="009406AE"/>
    <w:rsid w:val="0097520C"/>
    <w:rsid w:val="00990F09"/>
    <w:rsid w:val="009A1694"/>
    <w:rsid w:val="009A73EB"/>
    <w:rsid w:val="009B108A"/>
    <w:rsid w:val="009C01E0"/>
    <w:rsid w:val="009E397B"/>
    <w:rsid w:val="009F0DB0"/>
    <w:rsid w:val="009F5CD2"/>
    <w:rsid w:val="009F5E59"/>
    <w:rsid w:val="009F6764"/>
    <w:rsid w:val="009F7E2B"/>
    <w:rsid w:val="00A03D05"/>
    <w:rsid w:val="00A1724F"/>
    <w:rsid w:val="00A2006C"/>
    <w:rsid w:val="00A26DA4"/>
    <w:rsid w:val="00A30067"/>
    <w:rsid w:val="00A3374A"/>
    <w:rsid w:val="00A44303"/>
    <w:rsid w:val="00A45E6C"/>
    <w:rsid w:val="00AA0AE0"/>
    <w:rsid w:val="00AB3888"/>
    <w:rsid w:val="00AC304A"/>
    <w:rsid w:val="00AC510B"/>
    <w:rsid w:val="00AC5949"/>
    <w:rsid w:val="00AE7893"/>
    <w:rsid w:val="00AF7C91"/>
    <w:rsid w:val="00B123B9"/>
    <w:rsid w:val="00B21CC2"/>
    <w:rsid w:val="00B24722"/>
    <w:rsid w:val="00B330B1"/>
    <w:rsid w:val="00B34E6F"/>
    <w:rsid w:val="00B37596"/>
    <w:rsid w:val="00B45421"/>
    <w:rsid w:val="00B47388"/>
    <w:rsid w:val="00B56416"/>
    <w:rsid w:val="00B67F52"/>
    <w:rsid w:val="00B97944"/>
    <w:rsid w:val="00BC76FB"/>
    <w:rsid w:val="00BD73D1"/>
    <w:rsid w:val="00BE0274"/>
    <w:rsid w:val="00BF1075"/>
    <w:rsid w:val="00BF3EE9"/>
    <w:rsid w:val="00C061F1"/>
    <w:rsid w:val="00C2749C"/>
    <w:rsid w:val="00C4180D"/>
    <w:rsid w:val="00C43B12"/>
    <w:rsid w:val="00C6182A"/>
    <w:rsid w:val="00C714AB"/>
    <w:rsid w:val="00C8042B"/>
    <w:rsid w:val="00CA3262"/>
    <w:rsid w:val="00CF29A9"/>
    <w:rsid w:val="00CF7D9E"/>
    <w:rsid w:val="00D06DE5"/>
    <w:rsid w:val="00D15326"/>
    <w:rsid w:val="00D16215"/>
    <w:rsid w:val="00D1717E"/>
    <w:rsid w:val="00D24EE0"/>
    <w:rsid w:val="00D25E09"/>
    <w:rsid w:val="00D27CCA"/>
    <w:rsid w:val="00D47812"/>
    <w:rsid w:val="00D6599B"/>
    <w:rsid w:val="00D71564"/>
    <w:rsid w:val="00D7271E"/>
    <w:rsid w:val="00D7517A"/>
    <w:rsid w:val="00D770C6"/>
    <w:rsid w:val="00D8795F"/>
    <w:rsid w:val="00D91DAB"/>
    <w:rsid w:val="00D97689"/>
    <w:rsid w:val="00DA70A7"/>
    <w:rsid w:val="00DC19D1"/>
    <w:rsid w:val="00DC5EDB"/>
    <w:rsid w:val="00DC64B3"/>
    <w:rsid w:val="00DD377A"/>
    <w:rsid w:val="00DE0D16"/>
    <w:rsid w:val="00E005FA"/>
    <w:rsid w:val="00E00C4A"/>
    <w:rsid w:val="00E016AB"/>
    <w:rsid w:val="00E06A63"/>
    <w:rsid w:val="00E474ED"/>
    <w:rsid w:val="00E656BC"/>
    <w:rsid w:val="00E948FA"/>
    <w:rsid w:val="00E95F8A"/>
    <w:rsid w:val="00E96476"/>
    <w:rsid w:val="00ED19F4"/>
    <w:rsid w:val="00F11AA7"/>
    <w:rsid w:val="00F13D07"/>
    <w:rsid w:val="00F25804"/>
    <w:rsid w:val="00F4522F"/>
    <w:rsid w:val="00F56FE6"/>
    <w:rsid w:val="00F8460C"/>
    <w:rsid w:val="00F84FCF"/>
    <w:rsid w:val="00F97AF4"/>
    <w:rsid w:val="00FA4309"/>
    <w:rsid w:val="00FA7CF3"/>
    <w:rsid w:val="00FD330D"/>
    <w:rsid w:val="00FD3B8A"/>
    <w:rsid w:val="00FF51A1"/>
    <w:rsid w:val="00FF657D"/>
    <w:rsid w:val="06B026BD"/>
    <w:rsid w:val="0D7934AB"/>
    <w:rsid w:val="286703DB"/>
    <w:rsid w:val="32CCC733"/>
    <w:rsid w:val="63BD145C"/>
    <w:rsid w:val="77421060"/>
    <w:rsid w:val="7B4DD5C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456D630"/>
  <w15:docId w15:val="{95139F1D-962C-4685-8589-B03188E32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9A1"/>
    <w:pPr>
      <w:jc w:val="both"/>
    </w:pPr>
    <w:rPr>
      <w:rFonts w:ascii="Calibri" w:hAnsi="Calibri"/>
      <w:sz w:val="22"/>
    </w:rPr>
  </w:style>
  <w:style w:type="paragraph" w:styleId="Heading1">
    <w:name w:val="heading 1"/>
    <w:basedOn w:val="Normal"/>
    <w:next w:val="Normal"/>
    <w:link w:val="Heading1Char"/>
    <w:autoRedefine/>
    <w:uiPriority w:val="9"/>
    <w:qFormat/>
    <w:rsid w:val="00AE7893"/>
    <w:pPr>
      <w:keepNext/>
      <w:keepLines/>
      <w:spacing w:before="240"/>
      <w:outlineLvl w:val="0"/>
    </w:pPr>
    <w:rPr>
      <w:rFonts w:eastAsiaTheme="majorEastAsia" w:cstheme="majorBidi"/>
      <w:b/>
      <w:bCs/>
      <w:color w:val="008173"/>
      <w:sz w:val="28"/>
      <w:szCs w:val="28"/>
    </w:rPr>
  </w:style>
  <w:style w:type="paragraph" w:styleId="Heading2">
    <w:name w:val="heading 2"/>
    <w:basedOn w:val="Normal"/>
    <w:next w:val="Normal"/>
    <w:link w:val="Heading2Char"/>
    <w:autoRedefine/>
    <w:uiPriority w:val="9"/>
    <w:unhideWhenUsed/>
    <w:qFormat/>
    <w:rsid w:val="00AE7893"/>
    <w:pPr>
      <w:keepNext/>
      <w:spacing w:before="200"/>
      <w:outlineLvl w:val="1"/>
    </w:pPr>
    <w:rPr>
      <w:rFonts w:asciiTheme="majorHAnsi" w:eastAsiaTheme="majorEastAsia" w:hAnsiTheme="majorHAnsi" w:cstheme="majorBidi"/>
      <w:b/>
      <w:bCs/>
      <w:color w:val="008173"/>
      <w:sz w:val="24"/>
      <w:szCs w:val="26"/>
    </w:rPr>
  </w:style>
  <w:style w:type="paragraph" w:styleId="Heading3">
    <w:name w:val="heading 3"/>
    <w:basedOn w:val="Normal"/>
    <w:next w:val="Normal"/>
    <w:link w:val="Heading3Char"/>
    <w:autoRedefine/>
    <w:uiPriority w:val="9"/>
    <w:unhideWhenUsed/>
    <w:qFormat/>
    <w:rsid w:val="009F5CD2"/>
    <w:pPr>
      <w:keepNext/>
      <w:keepLines/>
      <w:spacing w:before="200"/>
      <w:outlineLvl w:val="2"/>
    </w:pPr>
    <w:rPr>
      <w:rFonts w:eastAsiaTheme="majorEastAsia" w:cstheme="majorBidi"/>
      <w:b/>
      <w:bCs/>
      <w:i/>
      <w:color w:val="008173"/>
    </w:rPr>
  </w:style>
  <w:style w:type="paragraph" w:styleId="Heading4">
    <w:name w:val="heading 4"/>
    <w:basedOn w:val="Normal"/>
    <w:next w:val="Normal"/>
    <w:link w:val="Heading4Char"/>
    <w:autoRedefine/>
    <w:uiPriority w:val="9"/>
    <w:unhideWhenUsed/>
    <w:qFormat/>
    <w:rsid w:val="00C2749C"/>
    <w:pPr>
      <w:keepNext/>
      <w:keepLines/>
      <w:spacing w:before="40"/>
      <w:outlineLvl w:val="3"/>
    </w:pPr>
    <w:rPr>
      <w:rFonts w:asciiTheme="majorHAnsi" w:eastAsiaTheme="majorEastAsia" w:hAnsiTheme="majorHAnsi" w:cstheme="majorBidi"/>
      <w:b/>
      <w:i/>
      <w:iCs/>
      <w:color w:val="007B6C"/>
      <w:sz w:val="20"/>
    </w:rPr>
  </w:style>
  <w:style w:type="paragraph" w:styleId="Heading5">
    <w:name w:val="heading 5"/>
    <w:basedOn w:val="Normal"/>
    <w:next w:val="Normal"/>
    <w:link w:val="Heading5Char"/>
    <w:autoRedefine/>
    <w:uiPriority w:val="9"/>
    <w:unhideWhenUsed/>
    <w:qFormat/>
    <w:rsid w:val="005506C5"/>
    <w:pPr>
      <w:keepNext/>
      <w:keepLines/>
      <w:spacing w:before="40"/>
      <w:outlineLvl w:val="4"/>
    </w:pPr>
    <w:rPr>
      <w:rFonts w:asciiTheme="majorHAnsi" w:eastAsiaTheme="majorEastAsia" w:hAnsiTheme="majorHAnsi" w:cstheme="majorBidi"/>
      <w:b/>
      <w:color w:val="007C6B"/>
      <w:sz w:val="28"/>
    </w:rPr>
  </w:style>
  <w:style w:type="paragraph" w:styleId="Heading6">
    <w:name w:val="heading 6"/>
    <w:basedOn w:val="Normal"/>
    <w:next w:val="Normal"/>
    <w:link w:val="Heading6Char"/>
    <w:uiPriority w:val="9"/>
    <w:semiHidden/>
    <w:unhideWhenUsed/>
    <w:qFormat/>
    <w:rsid w:val="008515C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515CD"/>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5FF"/>
    <w:pPr>
      <w:tabs>
        <w:tab w:val="center" w:pos="4320"/>
        <w:tab w:val="right" w:pos="8640"/>
      </w:tabs>
    </w:pPr>
  </w:style>
  <w:style w:type="character" w:customStyle="1" w:styleId="HeaderChar">
    <w:name w:val="Header Char"/>
    <w:basedOn w:val="DefaultParagraphFont"/>
    <w:link w:val="Header"/>
    <w:uiPriority w:val="99"/>
    <w:rsid w:val="003E25FF"/>
  </w:style>
  <w:style w:type="paragraph" w:styleId="Footer">
    <w:name w:val="footer"/>
    <w:basedOn w:val="Normal"/>
    <w:link w:val="FooterChar"/>
    <w:uiPriority w:val="99"/>
    <w:unhideWhenUsed/>
    <w:rsid w:val="003E25FF"/>
    <w:pPr>
      <w:tabs>
        <w:tab w:val="center" w:pos="4320"/>
        <w:tab w:val="right" w:pos="8640"/>
      </w:tabs>
    </w:pPr>
  </w:style>
  <w:style w:type="character" w:customStyle="1" w:styleId="FooterChar">
    <w:name w:val="Footer Char"/>
    <w:basedOn w:val="DefaultParagraphFont"/>
    <w:link w:val="Footer"/>
    <w:uiPriority w:val="99"/>
    <w:rsid w:val="003E25FF"/>
  </w:style>
  <w:style w:type="paragraph" w:customStyle="1" w:styleId="BasicParagraph">
    <w:name w:val="[Basic Paragraph]"/>
    <w:basedOn w:val="Normal"/>
    <w:uiPriority w:val="99"/>
    <w:rsid w:val="003E25F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7A2A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2A07"/>
    <w:rPr>
      <w:rFonts w:ascii="Lucida Grande" w:hAnsi="Lucida Grande" w:cs="Lucida Grande"/>
      <w:sz w:val="18"/>
      <w:szCs w:val="18"/>
    </w:rPr>
  </w:style>
  <w:style w:type="character" w:customStyle="1" w:styleId="Style1">
    <w:name w:val="Style1"/>
    <w:uiPriority w:val="1"/>
    <w:qFormat/>
    <w:rsid w:val="00B24722"/>
    <w:rPr>
      <w:rFonts w:ascii="Open Sans" w:hAnsi="Open Sans"/>
      <w:b w:val="0"/>
      <w:i w:val="0"/>
      <w:color w:val="FFFFFF" w:themeColor="background1"/>
      <w:sz w:val="28"/>
    </w:rPr>
  </w:style>
  <w:style w:type="character" w:customStyle="1" w:styleId="Style2">
    <w:name w:val="Style2"/>
    <w:basedOn w:val="Style1"/>
    <w:uiPriority w:val="1"/>
    <w:qFormat/>
    <w:rsid w:val="00B24722"/>
    <w:rPr>
      <w:rFonts w:ascii="Open Sans" w:hAnsi="Open Sans"/>
      <w:b w:val="0"/>
      <w:i w:val="0"/>
      <w:color w:val="FFFFFF" w:themeColor="background1"/>
      <w:sz w:val="16"/>
    </w:rPr>
  </w:style>
  <w:style w:type="paragraph" w:styleId="NormalWeb">
    <w:name w:val="Normal (Web)"/>
    <w:basedOn w:val="Normal"/>
    <w:uiPriority w:val="99"/>
    <w:semiHidden/>
    <w:unhideWhenUsed/>
    <w:rsid w:val="00104BA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104BA0"/>
    <w:rPr>
      <w:b/>
      <w:bCs/>
    </w:rPr>
  </w:style>
  <w:style w:type="character" w:customStyle="1" w:styleId="apple-converted-space">
    <w:name w:val="apple-converted-space"/>
    <w:basedOn w:val="DefaultParagraphFont"/>
    <w:rsid w:val="00104BA0"/>
  </w:style>
  <w:style w:type="character" w:styleId="Hyperlink">
    <w:name w:val="Hyperlink"/>
    <w:basedOn w:val="DefaultParagraphFont"/>
    <w:uiPriority w:val="99"/>
    <w:unhideWhenUsed/>
    <w:rsid w:val="009A73EB"/>
    <w:rPr>
      <w:color w:val="0000FF" w:themeColor="hyperlink"/>
      <w:u w:val="single"/>
    </w:rPr>
  </w:style>
  <w:style w:type="character" w:customStyle="1" w:styleId="Heading1Char">
    <w:name w:val="Heading 1 Char"/>
    <w:basedOn w:val="DefaultParagraphFont"/>
    <w:link w:val="Heading1"/>
    <w:uiPriority w:val="9"/>
    <w:rsid w:val="00AE7893"/>
    <w:rPr>
      <w:rFonts w:ascii="Calibri" w:eastAsiaTheme="majorEastAsia" w:hAnsi="Calibri" w:cstheme="majorBidi"/>
      <w:b/>
      <w:bCs/>
      <w:color w:val="008173"/>
      <w:sz w:val="28"/>
      <w:szCs w:val="28"/>
    </w:rPr>
  </w:style>
  <w:style w:type="paragraph" w:styleId="TOCHeading">
    <w:name w:val="TOC Heading"/>
    <w:basedOn w:val="Heading1"/>
    <w:next w:val="Normal"/>
    <w:uiPriority w:val="39"/>
    <w:unhideWhenUsed/>
    <w:qFormat/>
    <w:rsid w:val="009B108A"/>
    <w:pPr>
      <w:spacing w:line="276" w:lineRule="auto"/>
      <w:outlineLvl w:val="9"/>
    </w:pPr>
    <w:rPr>
      <w:lang w:val="pt-PT"/>
    </w:rPr>
  </w:style>
  <w:style w:type="paragraph" w:styleId="TOC1">
    <w:name w:val="toc 1"/>
    <w:basedOn w:val="Normal"/>
    <w:next w:val="Normal"/>
    <w:autoRedefine/>
    <w:uiPriority w:val="39"/>
    <w:unhideWhenUsed/>
    <w:rsid w:val="009B108A"/>
    <w:pPr>
      <w:spacing w:after="100"/>
    </w:pPr>
  </w:style>
  <w:style w:type="character" w:customStyle="1" w:styleId="Heading2Char">
    <w:name w:val="Heading 2 Char"/>
    <w:basedOn w:val="DefaultParagraphFont"/>
    <w:link w:val="Heading2"/>
    <w:uiPriority w:val="9"/>
    <w:rsid w:val="00AE7893"/>
    <w:rPr>
      <w:rFonts w:asciiTheme="majorHAnsi" w:eastAsiaTheme="majorEastAsia" w:hAnsiTheme="majorHAnsi" w:cstheme="majorBidi"/>
      <w:b/>
      <w:bCs/>
      <w:color w:val="008173"/>
      <w:szCs w:val="26"/>
    </w:rPr>
  </w:style>
  <w:style w:type="character" w:customStyle="1" w:styleId="Heading3Char">
    <w:name w:val="Heading 3 Char"/>
    <w:basedOn w:val="DefaultParagraphFont"/>
    <w:link w:val="Heading3"/>
    <w:uiPriority w:val="9"/>
    <w:rsid w:val="009F5CD2"/>
    <w:rPr>
      <w:rFonts w:ascii="Calibri" w:eastAsiaTheme="majorEastAsia" w:hAnsi="Calibri" w:cstheme="majorBidi"/>
      <w:b/>
      <w:bCs/>
      <w:i/>
      <w:color w:val="008173"/>
      <w:sz w:val="22"/>
    </w:rPr>
  </w:style>
  <w:style w:type="paragraph" w:styleId="TOC2">
    <w:name w:val="toc 2"/>
    <w:basedOn w:val="Normal"/>
    <w:next w:val="Normal"/>
    <w:autoRedefine/>
    <w:uiPriority w:val="39"/>
    <w:unhideWhenUsed/>
    <w:rsid w:val="00DC19D1"/>
    <w:pPr>
      <w:spacing w:after="100"/>
      <w:ind w:left="220"/>
    </w:pPr>
  </w:style>
  <w:style w:type="paragraph" w:styleId="TOC3">
    <w:name w:val="toc 3"/>
    <w:basedOn w:val="Normal"/>
    <w:next w:val="Normal"/>
    <w:autoRedefine/>
    <w:uiPriority w:val="39"/>
    <w:unhideWhenUsed/>
    <w:rsid w:val="00DC19D1"/>
    <w:pPr>
      <w:spacing w:after="100"/>
      <w:ind w:left="440"/>
    </w:pPr>
  </w:style>
  <w:style w:type="character" w:customStyle="1" w:styleId="UnresolvedMention1">
    <w:name w:val="Unresolved Mention1"/>
    <w:basedOn w:val="DefaultParagraphFont"/>
    <w:uiPriority w:val="99"/>
    <w:semiHidden/>
    <w:unhideWhenUsed/>
    <w:rsid w:val="004735E4"/>
    <w:rPr>
      <w:color w:val="605E5C"/>
      <w:shd w:val="clear" w:color="auto" w:fill="E1DFDD"/>
    </w:rPr>
  </w:style>
  <w:style w:type="character" w:customStyle="1" w:styleId="Heading4Char">
    <w:name w:val="Heading 4 Char"/>
    <w:basedOn w:val="DefaultParagraphFont"/>
    <w:link w:val="Heading4"/>
    <w:uiPriority w:val="9"/>
    <w:rsid w:val="00C2749C"/>
    <w:rPr>
      <w:rFonts w:asciiTheme="majorHAnsi" w:eastAsiaTheme="majorEastAsia" w:hAnsiTheme="majorHAnsi" w:cstheme="majorBidi"/>
      <w:b/>
      <w:i/>
      <w:iCs/>
      <w:color w:val="007B6C"/>
      <w:sz w:val="20"/>
    </w:rPr>
  </w:style>
  <w:style w:type="character" w:customStyle="1" w:styleId="Heading5Char">
    <w:name w:val="Heading 5 Char"/>
    <w:basedOn w:val="DefaultParagraphFont"/>
    <w:link w:val="Heading5"/>
    <w:uiPriority w:val="9"/>
    <w:rsid w:val="005506C5"/>
    <w:rPr>
      <w:rFonts w:asciiTheme="majorHAnsi" w:eastAsiaTheme="majorEastAsia" w:hAnsiTheme="majorHAnsi" w:cstheme="majorBidi"/>
      <w:b/>
      <w:color w:val="007C6B"/>
      <w:sz w:val="28"/>
    </w:rPr>
  </w:style>
  <w:style w:type="character" w:customStyle="1" w:styleId="Heading6Char">
    <w:name w:val="Heading 6 Char"/>
    <w:basedOn w:val="DefaultParagraphFont"/>
    <w:link w:val="Heading6"/>
    <w:uiPriority w:val="9"/>
    <w:semiHidden/>
    <w:rsid w:val="008515CD"/>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8515CD"/>
    <w:rPr>
      <w:rFonts w:asciiTheme="majorHAnsi" w:eastAsiaTheme="majorEastAsia" w:hAnsiTheme="majorHAnsi" w:cstheme="majorBidi"/>
      <w:i/>
      <w:iCs/>
      <w:color w:val="243F60" w:themeColor="accent1" w:themeShade="7F"/>
      <w:sz w:val="22"/>
    </w:rPr>
  </w:style>
  <w:style w:type="paragraph" w:customStyle="1" w:styleId="Tableheading">
    <w:name w:val="Table heading"/>
    <w:basedOn w:val="Normal"/>
    <w:qFormat/>
    <w:rsid w:val="00445D3E"/>
    <w:pPr>
      <w:spacing w:before="40" w:after="40"/>
    </w:pPr>
    <w:rPr>
      <w:rFonts w:asciiTheme="minorHAnsi" w:eastAsia="ヒラギノ角ゴ Pro W3" w:hAnsiTheme="minorHAnsi" w:cs="Times New Roman"/>
      <w:b/>
      <w:iCs/>
      <w:color w:val="002060"/>
      <w:sz w:val="24"/>
      <w:lang w:val="en-GB"/>
    </w:rPr>
  </w:style>
  <w:style w:type="table" w:styleId="TableGrid">
    <w:name w:val="Table Grid"/>
    <w:basedOn w:val="TableNormal"/>
    <w:uiPriority w:val="59"/>
    <w:rsid w:val="00445D3E"/>
    <w:rPr>
      <w:rFonts w:eastAsia="Times New Roman"/>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sourcenotes">
    <w:name w:val="Graphic source/notes"/>
    <w:basedOn w:val="Normal"/>
    <w:next w:val="Normal"/>
    <w:autoRedefine/>
    <w:qFormat/>
    <w:rsid w:val="004812D5"/>
    <w:pPr>
      <w:spacing w:before="40" w:after="40"/>
    </w:pPr>
    <w:rPr>
      <w:rFonts w:eastAsia="ヒラギノ角ゴ Pro W3" w:cs="Times New Roman"/>
      <w:iCs/>
      <w:sz w:val="20"/>
      <w:lang w:val="en-GB"/>
    </w:rPr>
  </w:style>
  <w:style w:type="paragraph" w:styleId="BodyText">
    <w:name w:val="Body Text"/>
    <w:aliases w:val="EEA - Body Text"/>
    <w:basedOn w:val="Normal"/>
    <w:link w:val="BodyTextChar"/>
    <w:autoRedefine/>
    <w:qFormat/>
    <w:rsid w:val="00445D3E"/>
    <w:pPr>
      <w:spacing w:after="160" w:line="259" w:lineRule="auto"/>
      <w:ind w:left="360"/>
      <w:jc w:val="left"/>
    </w:pPr>
    <w:rPr>
      <w:rFonts w:asciiTheme="minorHAnsi" w:eastAsia="ヒラギノ角ゴ Pro W3" w:hAnsiTheme="minorHAnsi" w:cs="Times New Roman"/>
      <w:color w:val="000000"/>
      <w:szCs w:val="20"/>
      <w:lang w:val="en-GB" w:eastAsia="en-GB"/>
    </w:rPr>
  </w:style>
  <w:style w:type="character" w:customStyle="1" w:styleId="BodyTextChar">
    <w:name w:val="Body Text Char"/>
    <w:aliases w:val="EEA - Body Text Char"/>
    <w:basedOn w:val="DefaultParagraphFont"/>
    <w:link w:val="BodyText"/>
    <w:rsid w:val="00445D3E"/>
    <w:rPr>
      <w:rFonts w:eastAsia="ヒラギノ角ゴ Pro W3" w:cs="Times New Roman"/>
      <w:color w:val="000000"/>
      <w:sz w:val="22"/>
      <w:szCs w:val="20"/>
      <w:lang w:val="en-GB" w:eastAsia="en-GB"/>
    </w:rPr>
  </w:style>
  <w:style w:type="paragraph" w:styleId="Caption">
    <w:name w:val="caption"/>
    <w:basedOn w:val="Normal"/>
    <w:next w:val="Normal"/>
    <w:unhideWhenUsed/>
    <w:qFormat/>
    <w:rsid w:val="00445D3E"/>
    <w:pPr>
      <w:spacing w:after="200"/>
    </w:pPr>
    <w:rPr>
      <w:rFonts w:asciiTheme="minorHAnsi" w:eastAsia="ヒラギノ角ゴ Pro W3" w:hAnsiTheme="minorHAnsi" w:cs="Times New Roman"/>
      <w:b/>
      <w:color w:val="1F497D" w:themeColor="text2"/>
      <w:szCs w:val="18"/>
      <w:lang w:val="en-GB"/>
    </w:rPr>
  </w:style>
  <w:style w:type="paragraph" w:customStyle="1" w:styleId="StyleCaptionLeft">
    <w:name w:val="Style Caption + Left"/>
    <w:basedOn w:val="Caption"/>
    <w:autoRedefine/>
    <w:qFormat/>
    <w:rsid w:val="00E95F8A"/>
    <w:pPr>
      <w:jc w:val="left"/>
    </w:pPr>
    <w:rPr>
      <w:rFonts w:ascii="Calibri" w:eastAsia="Times New Roman" w:hAnsi="Calibri"/>
      <w:bCs/>
      <w:color w:val="007B6C"/>
      <w:szCs w:val="20"/>
    </w:rPr>
  </w:style>
  <w:style w:type="paragraph" w:customStyle="1" w:styleId="Tableheadinggreen">
    <w:name w:val="Table heading green"/>
    <w:basedOn w:val="Tableheading"/>
    <w:autoRedefine/>
    <w:qFormat/>
    <w:rsid w:val="00D06DE5"/>
    <w:rPr>
      <w:rFonts w:ascii="Calibri" w:hAnsi="Calibri"/>
      <w:bCs/>
      <w:iCs w:val="0"/>
      <w:color w:val="007B6C"/>
    </w:rPr>
  </w:style>
  <w:style w:type="paragraph" w:styleId="Title">
    <w:name w:val="Title"/>
    <w:basedOn w:val="BasicParagraph"/>
    <w:next w:val="Normal"/>
    <w:link w:val="TitleChar"/>
    <w:uiPriority w:val="10"/>
    <w:qFormat/>
    <w:rsid w:val="00872F6A"/>
    <w:pPr>
      <w:suppressAutoHyphens/>
      <w:jc w:val="center"/>
    </w:pPr>
    <w:rPr>
      <w:rFonts w:asciiTheme="majorHAnsi" w:eastAsia="Times New Roman" w:hAnsiTheme="majorHAnsi" w:cstheme="majorHAnsi"/>
      <w:color w:val="007B6C"/>
      <w:sz w:val="48"/>
      <w:szCs w:val="48"/>
      <w:lang w:val="fr-FR" w:eastAsia="pt-PT"/>
    </w:rPr>
  </w:style>
  <w:style w:type="character" w:customStyle="1" w:styleId="TitleChar">
    <w:name w:val="Title Char"/>
    <w:basedOn w:val="DefaultParagraphFont"/>
    <w:link w:val="Title"/>
    <w:uiPriority w:val="10"/>
    <w:rsid w:val="00872F6A"/>
    <w:rPr>
      <w:rFonts w:asciiTheme="majorHAnsi" w:eastAsia="Times New Roman" w:hAnsiTheme="majorHAnsi" w:cstheme="majorHAnsi"/>
      <w:color w:val="007B6C"/>
      <w:sz w:val="48"/>
      <w:szCs w:val="48"/>
      <w:lang w:val="fr-FR" w:eastAsia="pt-PT"/>
    </w:rPr>
  </w:style>
  <w:style w:type="character" w:customStyle="1" w:styleId="normaltextrun">
    <w:name w:val="normaltextrun"/>
    <w:basedOn w:val="DefaultParagraphFont"/>
    <w:rsid w:val="00AB3888"/>
  </w:style>
  <w:style w:type="character" w:styleId="CommentReference">
    <w:name w:val="annotation reference"/>
    <w:basedOn w:val="DefaultParagraphFont"/>
    <w:uiPriority w:val="99"/>
    <w:semiHidden/>
    <w:unhideWhenUsed/>
    <w:rsid w:val="00B21CC2"/>
    <w:rPr>
      <w:sz w:val="16"/>
      <w:szCs w:val="16"/>
    </w:rPr>
  </w:style>
  <w:style w:type="paragraph" w:styleId="CommentText">
    <w:name w:val="annotation text"/>
    <w:basedOn w:val="Normal"/>
    <w:link w:val="CommentTextChar"/>
    <w:uiPriority w:val="99"/>
    <w:semiHidden/>
    <w:unhideWhenUsed/>
    <w:rsid w:val="00B21CC2"/>
    <w:rPr>
      <w:sz w:val="20"/>
      <w:szCs w:val="20"/>
    </w:rPr>
  </w:style>
  <w:style w:type="character" w:customStyle="1" w:styleId="CommentTextChar">
    <w:name w:val="Comment Text Char"/>
    <w:basedOn w:val="DefaultParagraphFont"/>
    <w:link w:val="CommentText"/>
    <w:uiPriority w:val="99"/>
    <w:semiHidden/>
    <w:rsid w:val="00B21CC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B21CC2"/>
    <w:rPr>
      <w:b/>
      <w:bCs/>
    </w:rPr>
  </w:style>
  <w:style w:type="character" w:customStyle="1" w:styleId="CommentSubjectChar">
    <w:name w:val="Comment Subject Char"/>
    <w:basedOn w:val="CommentTextChar"/>
    <w:link w:val="CommentSubject"/>
    <w:uiPriority w:val="99"/>
    <w:semiHidden/>
    <w:rsid w:val="00B21CC2"/>
    <w:rPr>
      <w:rFonts w:ascii="Calibri" w:hAnsi="Calibri"/>
      <w:b/>
      <w:bCs/>
      <w:sz w:val="20"/>
      <w:szCs w:val="20"/>
    </w:rPr>
  </w:style>
  <w:style w:type="paragraph" w:styleId="FootnoteText">
    <w:name w:val="footnote text"/>
    <w:aliases w:val="-E Fußnotentext,Fußnotentext Ursprung,Fußnote,footnote text,(Diplomarbeit),(Diplomarbeit)1,(Diplomarbeit)2,(Diplomarbeit)3,(Diplomarbeit)4,(Diplomarbeit)5,(Diplomarbeit)6,(Diplomarbeit)7,(Diplomarbeit)8,(Diplomarbeit)9"/>
    <w:basedOn w:val="Normal"/>
    <w:link w:val="FootnoteTextChar"/>
    <w:unhideWhenUsed/>
    <w:rsid w:val="002542BF"/>
    <w:rPr>
      <w:sz w:val="20"/>
      <w:szCs w:val="20"/>
    </w:rPr>
  </w:style>
  <w:style w:type="character" w:customStyle="1" w:styleId="FootnoteTextChar">
    <w:name w:val="Footnote Text Char"/>
    <w:aliases w:val="-E Fußnotentext Char,Fußnotentext Ursprung Char,Fußnote Char,footnote text Char,(Diplomarbeit) Char,(Diplomarbeit)1 Char,(Diplomarbeit)2 Char,(Diplomarbeit)3 Char,(Diplomarbeit)4 Char,(Diplomarbeit)5 Char,(Diplomarbeit)6 Char"/>
    <w:basedOn w:val="DefaultParagraphFont"/>
    <w:link w:val="FootnoteText"/>
    <w:rsid w:val="002542BF"/>
    <w:rPr>
      <w:rFonts w:ascii="Calibri" w:hAnsi="Calibri"/>
      <w:sz w:val="20"/>
      <w:szCs w:val="20"/>
    </w:rPr>
  </w:style>
  <w:style w:type="character" w:styleId="FootnoteReference">
    <w:name w:val="footnote reference"/>
    <w:aliases w:val="-E Fußnotenzeichen,EN Footnote Reference,(Diplomarbeit FZ),(Diplomarbeit FZ)1,(Diplomarbeit FZ)2,(Diplomarbeit FZ)3,(Diplomarbeit FZ)4,(Diplomarbeit FZ)5,(Diplomarbeit FZ)6,(Diplomarbeit FZ)7,(Diplomarbeit FZ)8,(Diplomarbeit FZ)9"/>
    <w:basedOn w:val="DefaultParagraphFont"/>
    <w:semiHidden/>
    <w:unhideWhenUsed/>
    <w:rsid w:val="002542BF"/>
    <w:rPr>
      <w:vertAlign w:val="superscript"/>
    </w:rPr>
  </w:style>
  <w:style w:type="character" w:customStyle="1" w:styleId="SourceZchn">
    <w:name w:val="Source Zchn"/>
    <w:basedOn w:val="DefaultParagraphFont"/>
    <w:link w:val="Source"/>
    <w:locked/>
    <w:rsid w:val="00DC64B3"/>
    <w:rPr>
      <w:rFonts w:ascii="Open Sans" w:eastAsiaTheme="minorHAnsi" w:hAnsi="Open Sans" w:cs="Open Sans"/>
      <w:noProof/>
      <w:sz w:val="18"/>
      <w:szCs w:val="16"/>
    </w:rPr>
  </w:style>
  <w:style w:type="paragraph" w:customStyle="1" w:styleId="Source">
    <w:name w:val="Source"/>
    <w:basedOn w:val="Normal"/>
    <w:link w:val="SourceZchn"/>
    <w:qFormat/>
    <w:rsid w:val="00DC64B3"/>
    <w:pPr>
      <w:ind w:left="1410" w:hanging="1410"/>
    </w:pPr>
    <w:rPr>
      <w:rFonts w:ascii="Open Sans" w:eastAsiaTheme="minorHAnsi" w:hAnsi="Open Sans" w:cs="Open Sans"/>
      <w:noProof/>
      <w:sz w:val="18"/>
      <w:szCs w:val="16"/>
    </w:rPr>
  </w:style>
  <w:style w:type="character" w:styleId="FollowedHyperlink">
    <w:name w:val="FollowedHyperlink"/>
    <w:basedOn w:val="DefaultParagraphFont"/>
    <w:uiPriority w:val="99"/>
    <w:semiHidden/>
    <w:unhideWhenUsed/>
    <w:rsid w:val="00A03D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72951">
      <w:bodyDiv w:val="1"/>
      <w:marLeft w:val="0"/>
      <w:marRight w:val="0"/>
      <w:marTop w:val="0"/>
      <w:marBottom w:val="0"/>
      <w:divBdr>
        <w:top w:val="none" w:sz="0" w:space="0" w:color="auto"/>
        <w:left w:val="none" w:sz="0" w:space="0" w:color="auto"/>
        <w:bottom w:val="none" w:sz="0" w:space="0" w:color="auto"/>
        <w:right w:val="none" w:sz="0" w:space="0" w:color="auto"/>
      </w:divBdr>
    </w:div>
    <w:div w:id="286159665">
      <w:bodyDiv w:val="1"/>
      <w:marLeft w:val="0"/>
      <w:marRight w:val="0"/>
      <w:marTop w:val="0"/>
      <w:marBottom w:val="0"/>
      <w:divBdr>
        <w:top w:val="none" w:sz="0" w:space="0" w:color="auto"/>
        <w:left w:val="none" w:sz="0" w:space="0" w:color="auto"/>
        <w:bottom w:val="none" w:sz="0" w:space="0" w:color="auto"/>
        <w:right w:val="none" w:sz="0" w:space="0" w:color="auto"/>
      </w:divBdr>
    </w:div>
    <w:div w:id="412505888">
      <w:bodyDiv w:val="1"/>
      <w:marLeft w:val="0"/>
      <w:marRight w:val="0"/>
      <w:marTop w:val="0"/>
      <w:marBottom w:val="0"/>
      <w:divBdr>
        <w:top w:val="none" w:sz="0" w:space="0" w:color="auto"/>
        <w:left w:val="none" w:sz="0" w:space="0" w:color="auto"/>
        <w:bottom w:val="none" w:sz="0" w:space="0" w:color="auto"/>
        <w:right w:val="none" w:sz="0" w:space="0" w:color="auto"/>
      </w:divBdr>
    </w:div>
    <w:div w:id="596406101">
      <w:bodyDiv w:val="1"/>
      <w:marLeft w:val="0"/>
      <w:marRight w:val="0"/>
      <w:marTop w:val="0"/>
      <w:marBottom w:val="0"/>
      <w:divBdr>
        <w:top w:val="none" w:sz="0" w:space="0" w:color="auto"/>
        <w:left w:val="none" w:sz="0" w:space="0" w:color="auto"/>
        <w:bottom w:val="none" w:sz="0" w:space="0" w:color="auto"/>
        <w:right w:val="none" w:sz="0" w:space="0" w:color="auto"/>
      </w:divBdr>
    </w:div>
    <w:div w:id="660045681">
      <w:bodyDiv w:val="1"/>
      <w:marLeft w:val="0"/>
      <w:marRight w:val="0"/>
      <w:marTop w:val="0"/>
      <w:marBottom w:val="0"/>
      <w:divBdr>
        <w:top w:val="none" w:sz="0" w:space="0" w:color="auto"/>
        <w:left w:val="none" w:sz="0" w:space="0" w:color="auto"/>
        <w:bottom w:val="none" w:sz="0" w:space="0" w:color="auto"/>
        <w:right w:val="none" w:sz="0" w:space="0" w:color="auto"/>
      </w:divBdr>
    </w:div>
    <w:div w:id="688335131">
      <w:bodyDiv w:val="1"/>
      <w:marLeft w:val="0"/>
      <w:marRight w:val="0"/>
      <w:marTop w:val="0"/>
      <w:marBottom w:val="0"/>
      <w:divBdr>
        <w:top w:val="none" w:sz="0" w:space="0" w:color="auto"/>
        <w:left w:val="none" w:sz="0" w:space="0" w:color="auto"/>
        <w:bottom w:val="none" w:sz="0" w:space="0" w:color="auto"/>
        <w:right w:val="none" w:sz="0" w:space="0" w:color="auto"/>
      </w:divBdr>
    </w:div>
    <w:div w:id="800805697">
      <w:bodyDiv w:val="1"/>
      <w:marLeft w:val="0"/>
      <w:marRight w:val="0"/>
      <w:marTop w:val="0"/>
      <w:marBottom w:val="0"/>
      <w:divBdr>
        <w:top w:val="none" w:sz="0" w:space="0" w:color="auto"/>
        <w:left w:val="none" w:sz="0" w:space="0" w:color="auto"/>
        <w:bottom w:val="none" w:sz="0" w:space="0" w:color="auto"/>
        <w:right w:val="none" w:sz="0" w:space="0" w:color="auto"/>
      </w:divBdr>
    </w:div>
    <w:div w:id="917901858">
      <w:bodyDiv w:val="1"/>
      <w:marLeft w:val="0"/>
      <w:marRight w:val="0"/>
      <w:marTop w:val="0"/>
      <w:marBottom w:val="0"/>
      <w:divBdr>
        <w:top w:val="none" w:sz="0" w:space="0" w:color="auto"/>
        <w:left w:val="none" w:sz="0" w:space="0" w:color="auto"/>
        <w:bottom w:val="none" w:sz="0" w:space="0" w:color="auto"/>
        <w:right w:val="none" w:sz="0" w:space="0" w:color="auto"/>
      </w:divBdr>
      <w:divsChild>
        <w:div w:id="2032410748">
          <w:marLeft w:val="0"/>
          <w:marRight w:val="0"/>
          <w:marTop w:val="0"/>
          <w:marBottom w:val="0"/>
          <w:divBdr>
            <w:top w:val="none" w:sz="0" w:space="0" w:color="auto"/>
            <w:left w:val="none" w:sz="0" w:space="0" w:color="auto"/>
            <w:bottom w:val="none" w:sz="0" w:space="0" w:color="auto"/>
            <w:right w:val="none" w:sz="0" w:space="0" w:color="auto"/>
          </w:divBdr>
        </w:div>
        <w:div w:id="932208607">
          <w:marLeft w:val="0"/>
          <w:marRight w:val="0"/>
          <w:marTop w:val="0"/>
          <w:marBottom w:val="0"/>
          <w:divBdr>
            <w:top w:val="none" w:sz="0" w:space="0" w:color="auto"/>
            <w:left w:val="none" w:sz="0" w:space="0" w:color="auto"/>
            <w:bottom w:val="none" w:sz="0" w:space="0" w:color="auto"/>
            <w:right w:val="none" w:sz="0" w:space="0" w:color="auto"/>
          </w:divBdr>
        </w:div>
        <w:div w:id="269238428">
          <w:marLeft w:val="0"/>
          <w:marRight w:val="0"/>
          <w:marTop w:val="0"/>
          <w:marBottom w:val="0"/>
          <w:divBdr>
            <w:top w:val="none" w:sz="0" w:space="0" w:color="auto"/>
            <w:left w:val="none" w:sz="0" w:space="0" w:color="auto"/>
            <w:bottom w:val="none" w:sz="0" w:space="0" w:color="auto"/>
            <w:right w:val="none" w:sz="0" w:space="0" w:color="auto"/>
          </w:divBdr>
        </w:div>
      </w:divsChild>
    </w:div>
    <w:div w:id="1011179767">
      <w:bodyDiv w:val="1"/>
      <w:marLeft w:val="0"/>
      <w:marRight w:val="0"/>
      <w:marTop w:val="0"/>
      <w:marBottom w:val="0"/>
      <w:divBdr>
        <w:top w:val="none" w:sz="0" w:space="0" w:color="auto"/>
        <w:left w:val="none" w:sz="0" w:space="0" w:color="auto"/>
        <w:bottom w:val="none" w:sz="0" w:space="0" w:color="auto"/>
        <w:right w:val="none" w:sz="0" w:space="0" w:color="auto"/>
      </w:divBdr>
    </w:div>
    <w:div w:id="1081298231">
      <w:bodyDiv w:val="1"/>
      <w:marLeft w:val="0"/>
      <w:marRight w:val="0"/>
      <w:marTop w:val="0"/>
      <w:marBottom w:val="0"/>
      <w:divBdr>
        <w:top w:val="none" w:sz="0" w:space="0" w:color="auto"/>
        <w:left w:val="none" w:sz="0" w:space="0" w:color="auto"/>
        <w:bottom w:val="none" w:sz="0" w:space="0" w:color="auto"/>
        <w:right w:val="none" w:sz="0" w:space="0" w:color="auto"/>
      </w:divBdr>
    </w:div>
    <w:div w:id="1117944611">
      <w:bodyDiv w:val="1"/>
      <w:marLeft w:val="0"/>
      <w:marRight w:val="0"/>
      <w:marTop w:val="0"/>
      <w:marBottom w:val="0"/>
      <w:divBdr>
        <w:top w:val="none" w:sz="0" w:space="0" w:color="auto"/>
        <w:left w:val="none" w:sz="0" w:space="0" w:color="auto"/>
        <w:bottom w:val="none" w:sz="0" w:space="0" w:color="auto"/>
        <w:right w:val="none" w:sz="0" w:space="0" w:color="auto"/>
      </w:divBdr>
      <w:divsChild>
        <w:div w:id="1523975941">
          <w:marLeft w:val="0"/>
          <w:marRight w:val="0"/>
          <w:marTop w:val="0"/>
          <w:marBottom w:val="0"/>
          <w:divBdr>
            <w:top w:val="none" w:sz="0" w:space="0" w:color="auto"/>
            <w:left w:val="none" w:sz="0" w:space="0" w:color="auto"/>
            <w:bottom w:val="none" w:sz="0" w:space="0" w:color="auto"/>
            <w:right w:val="none" w:sz="0" w:space="0" w:color="auto"/>
          </w:divBdr>
        </w:div>
        <w:div w:id="1295910579">
          <w:marLeft w:val="0"/>
          <w:marRight w:val="0"/>
          <w:marTop w:val="0"/>
          <w:marBottom w:val="0"/>
          <w:divBdr>
            <w:top w:val="none" w:sz="0" w:space="0" w:color="auto"/>
            <w:left w:val="none" w:sz="0" w:space="0" w:color="auto"/>
            <w:bottom w:val="none" w:sz="0" w:space="0" w:color="auto"/>
            <w:right w:val="none" w:sz="0" w:space="0" w:color="auto"/>
          </w:divBdr>
        </w:div>
        <w:div w:id="2124306156">
          <w:marLeft w:val="0"/>
          <w:marRight w:val="0"/>
          <w:marTop w:val="0"/>
          <w:marBottom w:val="0"/>
          <w:divBdr>
            <w:top w:val="none" w:sz="0" w:space="0" w:color="auto"/>
            <w:left w:val="none" w:sz="0" w:space="0" w:color="auto"/>
            <w:bottom w:val="none" w:sz="0" w:space="0" w:color="auto"/>
            <w:right w:val="none" w:sz="0" w:space="0" w:color="auto"/>
          </w:divBdr>
        </w:div>
      </w:divsChild>
    </w:div>
    <w:div w:id="1365786845">
      <w:bodyDiv w:val="1"/>
      <w:marLeft w:val="0"/>
      <w:marRight w:val="0"/>
      <w:marTop w:val="0"/>
      <w:marBottom w:val="0"/>
      <w:divBdr>
        <w:top w:val="none" w:sz="0" w:space="0" w:color="auto"/>
        <w:left w:val="none" w:sz="0" w:space="0" w:color="auto"/>
        <w:bottom w:val="none" w:sz="0" w:space="0" w:color="auto"/>
        <w:right w:val="none" w:sz="0" w:space="0" w:color="auto"/>
      </w:divBdr>
      <w:divsChild>
        <w:div w:id="1553467336">
          <w:marLeft w:val="0"/>
          <w:marRight w:val="0"/>
          <w:marTop w:val="0"/>
          <w:marBottom w:val="0"/>
          <w:divBdr>
            <w:top w:val="none" w:sz="0" w:space="0" w:color="auto"/>
            <w:left w:val="none" w:sz="0" w:space="0" w:color="auto"/>
            <w:bottom w:val="none" w:sz="0" w:space="0" w:color="auto"/>
            <w:right w:val="none" w:sz="0" w:space="0" w:color="auto"/>
          </w:divBdr>
        </w:div>
        <w:div w:id="43986798">
          <w:marLeft w:val="0"/>
          <w:marRight w:val="0"/>
          <w:marTop w:val="0"/>
          <w:marBottom w:val="0"/>
          <w:divBdr>
            <w:top w:val="none" w:sz="0" w:space="0" w:color="auto"/>
            <w:left w:val="none" w:sz="0" w:space="0" w:color="auto"/>
            <w:bottom w:val="none" w:sz="0" w:space="0" w:color="auto"/>
            <w:right w:val="none" w:sz="0" w:space="0" w:color="auto"/>
          </w:divBdr>
        </w:div>
        <w:div w:id="364717144">
          <w:marLeft w:val="0"/>
          <w:marRight w:val="0"/>
          <w:marTop w:val="0"/>
          <w:marBottom w:val="0"/>
          <w:divBdr>
            <w:top w:val="none" w:sz="0" w:space="0" w:color="auto"/>
            <w:left w:val="none" w:sz="0" w:space="0" w:color="auto"/>
            <w:bottom w:val="none" w:sz="0" w:space="0" w:color="auto"/>
            <w:right w:val="none" w:sz="0" w:space="0" w:color="auto"/>
          </w:divBdr>
        </w:div>
      </w:divsChild>
    </w:div>
    <w:div w:id="1554267400">
      <w:bodyDiv w:val="1"/>
      <w:marLeft w:val="0"/>
      <w:marRight w:val="0"/>
      <w:marTop w:val="0"/>
      <w:marBottom w:val="0"/>
      <w:divBdr>
        <w:top w:val="none" w:sz="0" w:space="0" w:color="auto"/>
        <w:left w:val="none" w:sz="0" w:space="0" w:color="auto"/>
        <w:bottom w:val="none" w:sz="0" w:space="0" w:color="auto"/>
        <w:right w:val="none" w:sz="0" w:space="0" w:color="auto"/>
      </w:divBdr>
    </w:div>
    <w:div w:id="1729066100">
      <w:bodyDiv w:val="1"/>
      <w:marLeft w:val="0"/>
      <w:marRight w:val="0"/>
      <w:marTop w:val="0"/>
      <w:marBottom w:val="0"/>
      <w:divBdr>
        <w:top w:val="none" w:sz="0" w:space="0" w:color="auto"/>
        <w:left w:val="none" w:sz="0" w:space="0" w:color="auto"/>
        <w:bottom w:val="none" w:sz="0" w:space="0" w:color="auto"/>
        <w:right w:val="none" w:sz="0" w:space="0" w:color="auto"/>
      </w:divBdr>
    </w:div>
    <w:div w:id="1842575619">
      <w:bodyDiv w:val="1"/>
      <w:marLeft w:val="0"/>
      <w:marRight w:val="0"/>
      <w:marTop w:val="0"/>
      <w:marBottom w:val="0"/>
      <w:divBdr>
        <w:top w:val="none" w:sz="0" w:space="0" w:color="auto"/>
        <w:left w:val="none" w:sz="0" w:space="0" w:color="auto"/>
        <w:bottom w:val="none" w:sz="0" w:space="0" w:color="auto"/>
        <w:right w:val="none" w:sz="0" w:space="0" w:color="auto"/>
      </w:divBdr>
      <w:divsChild>
        <w:div w:id="1429502647">
          <w:marLeft w:val="0"/>
          <w:marRight w:val="0"/>
          <w:marTop w:val="0"/>
          <w:marBottom w:val="0"/>
          <w:divBdr>
            <w:top w:val="none" w:sz="0" w:space="0" w:color="auto"/>
            <w:left w:val="none" w:sz="0" w:space="0" w:color="auto"/>
            <w:bottom w:val="none" w:sz="0" w:space="0" w:color="auto"/>
            <w:right w:val="none" w:sz="0" w:space="0" w:color="auto"/>
          </w:divBdr>
        </w:div>
        <w:div w:id="1627618653">
          <w:marLeft w:val="0"/>
          <w:marRight w:val="0"/>
          <w:marTop w:val="0"/>
          <w:marBottom w:val="0"/>
          <w:divBdr>
            <w:top w:val="none" w:sz="0" w:space="0" w:color="auto"/>
            <w:left w:val="none" w:sz="0" w:space="0" w:color="auto"/>
            <w:bottom w:val="none" w:sz="0" w:space="0" w:color="auto"/>
            <w:right w:val="none" w:sz="0" w:space="0" w:color="auto"/>
          </w:divBdr>
        </w:div>
        <w:div w:id="164365685">
          <w:marLeft w:val="0"/>
          <w:marRight w:val="0"/>
          <w:marTop w:val="0"/>
          <w:marBottom w:val="0"/>
          <w:divBdr>
            <w:top w:val="none" w:sz="0" w:space="0" w:color="auto"/>
            <w:left w:val="none" w:sz="0" w:space="0" w:color="auto"/>
            <w:bottom w:val="none" w:sz="0" w:space="0" w:color="auto"/>
            <w:right w:val="none" w:sz="0" w:space="0" w:color="auto"/>
          </w:divBdr>
        </w:div>
      </w:divsChild>
    </w:div>
    <w:div w:id="1899706330">
      <w:bodyDiv w:val="1"/>
      <w:marLeft w:val="0"/>
      <w:marRight w:val="0"/>
      <w:marTop w:val="0"/>
      <w:marBottom w:val="0"/>
      <w:divBdr>
        <w:top w:val="none" w:sz="0" w:space="0" w:color="auto"/>
        <w:left w:val="none" w:sz="0" w:space="0" w:color="auto"/>
        <w:bottom w:val="none" w:sz="0" w:space="0" w:color="auto"/>
        <w:right w:val="none" w:sz="0" w:space="0" w:color="auto"/>
      </w:divBdr>
    </w:div>
    <w:div w:id="1924683289">
      <w:bodyDiv w:val="1"/>
      <w:marLeft w:val="0"/>
      <w:marRight w:val="0"/>
      <w:marTop w:val="0"/>
      <w:marBottom w:val="0"/>
      <w:divBdr>
        <w:top w:val="none" w:sz="0" w:space="0" w:color="auto"/>
        <w:left w:val="none" w:sz="0" w:space="0" w:color="auto"/>
        <w:bottom w:val="none" w:sz="0" w:space="0" w:color="auto"/>
        <w:right w:val="none" w:sz="0" w:space="0" w:color="auto"/>
      </w:divBdr>
    </w:div>
    <w:div w:id="19695066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hyperlink" Target="https://pixabay.com/photos/industry-power-energy-industrial-1827884/" TargetMode="External"/><Relationship Id="rId25" Type="http://schemas.openxmlformats.org/officeDocument/2006/relationships/image" Target="media/image4.emf"/><Relationship Id="rId33"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3.png"/><Relationship Id="rId32"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eea.europa.eu/data-and-maps/dashboards/emissions-trading-viewer-1" TargetMode="External"/><Relationship Id="rId28"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file:///C:\Users\c.nissen\AppData\Local\Microsoft\Windows\Temporary%20Internet%20Files\Content.Outlook\EJQQMBFF\see" TargetMode="External"/><Relationship Id="rId13" Type="http://schemas.openxmlformats.org/officeDocument/2006/relationships/hyperlink" Target="http://eur-lex.europa.eu/legal-content/EN/TXT/PDF/?uri=CELEX:32017R2392&amp;from=EN" TargetMode="External"/><Relationship Id="rId3" Type="http://schemas.openxmlformats.org/officeDocument/2006/relationships/hyperlink" Target="https://ec.europa.eu/clima/sites/clima/files/installation_nace_rev2_matching_en.xls" TargetMode="External"/><Relationship Id="rId7" Type="http://schemas.openxmlformats.org/officeDocument/2006/relationships/hyperlink" Target="http://www.theice.com" TargetMode="External"/><Relationship Id="rId12" Type="http://schemas.openxmlformats.org/officeDocument/2006/relationships/hyperlink" Target="https://www.eea.europa.eu/publications/trends-and-projections-in-the" TargetMode="External"/><Relationship Id="rId17" Type="http://schemas.openxmlformats.org/officeDocument/2006/relationships/hyperlink" Target="file:///\\serval.eea.dmz1\S\Common%20workspace\ClimateMitigationEnergy\1_Datasets\7_ETS_Data\QAQC\ETS%20data%20for%20dataviewer%20and%20reports\April%202019\see" TargetMode="External"/><Relationship Id="rId2" Type="http://schemas.openxmlformats.org/officeDocument/2006/relationships/hyperlink" Target="https://www.eionet.europa.eu/etcs/etc-cm" TargetMode="External"/><Relationship Id="rId16" Type="http://schemas.openxmlformats.org/officeDocument/2006/relationships/hyperlink" Target="http://www.theice.com" TargetMode="External"/><Relationship Id="rId1" Type="http://schemas.openxmlformats.org/officeDocument/2006/relationships/hyperlink" Target="http://www.eea.europa.eu" TargetMode="External"/><Relationship Id="rId6" Type="http://schemas.openxmlformats.org/officeDocument/2006/relationships/hyperlink" Target="http://www.eex.com" TargetMode="External"/><Relationship Id="rId11" Type="http://schemas.openxmlformats.org/officeDocument/2006/relationships/hyperlink" Target="file:///\\serval.eea.dmz1\S\Common%20workspace\ClimateMitigationEnergy\1_Datasets\7_ETS_Data\QAQC\ETS%20data%20for%20dataviewer%20and%20reports\April%202019\see" TargetMode="External"/><Relationship Id="rId5" Type="http://schemas.openxmlformats.org/officeDocument/2006/relationships/hyperlink" Target="https://ec.europa.eu/clima/sites/clima/files/transport/aviation/docs/20130926_returns_en.pdf" TargetMode="External"/><Relationship Id="rId15" Type="http://schemas.openxmlformats.org/officeDocument/2006/relationships/hyperlink" Target="http://www.eex.com/" TargetMode="External"/><Relationship Id="rId10" Type="http://schemas.openxmlformats.org/officeDocument/2006/relationships/hyperlink" Target="http://acm.eionet.europa.eu/docs/ETCACM_EU-ETS_translation_of_activity_codes_April_2016_for_publication.pdf" TargetMode="External"/><Relationship Id="rId4" Type="http://schemas.openxmlformats.org/officeDocument/2006/relationships/hyperlink" Target="http://acm.eionet.europa.eu/docs/ETCACM_EU-ETS_translation_of_activity_codes_April_2016_for_publication.pdf" TargetMode="External"/><Relationship Id="rId9" Type="http://schemas.openxmlformats.org/officeDocument/2006/relationships/hyperlink" Target="https://ec.europa.eu/clima/sites/clima/files/installation_nace_rev2_matching_en.xls" TargetMode="External"/><Relationship Id="rId14" Type="http://schemas.openxmlformats.org/officeDocument/2006/relationships/hyperlink" Target="http://www.dehst.de/cln_162/SharedDocs/Downloads/Publikationen/Auswertung__1__Handelsperiode,templateId=raw,property=publicationFile.pdf/Auswertung_1_Handelsperiod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ze\Downloads\ETC-ACM_report_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7D721CA0A481E48AE89AA8256F3CCEC" ma:contentTypeVersion="13" ma:contentTypeDescription="Ein neues Dokument erstellen." ma:contentTypeScope="" ma:versionID="10ed108095e36ced25ba5c40696fe431">
  <xsd:schema xmlns:xsd="http://www.w3.org/2001/XMLSchema" xmlns:xs="http://www.w3.org/2001/XMLSchema" xmlns:p="http://schemas.microsoft.com/office/2006/metadata/properties" xmlns:ns2="2369e19d-afd5-4c4b-9359-05565a9e7a6e" xmlns:ns3="f8a86d88-0edf-469b-b6c3-17028e86f05a" targetNamespace="http://schemas.microsoft.com/office/2006/metadata/properties" ma:root="true" ma:fieldsID="4ae81a00ea5fcbf933bef52acbbe2a60" ns2:_="" ns3:_="">
    <xsd:import namespace="2369e19d-afd5-4c4b-9359-05565a9e7a6e"/>
    <xsd:import namespace="f8a86d88-0edf-469b-b6c3-17028e86f05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andtim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69e19d-afd5-4c4b-9359-05565a9e7a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ede42cbc-566b-46c9-aea5-a71cdcd36d8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Dateandtime" ma:index="16" nillable="true" ma:displayName="Date and time" ma:format="DateOnly" ma:internalName="Dateandtime">
      <xsd:simpleType>
        <xsd:restriction base="dms:DateTim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a86d88-0edf-469b-b6c3-17028e86f05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f133654-c2cb-44c3-a143-cb618a5cdb96}" ma:internalName="TaxCatchAll" ma:showField="CatchAllData" ma:web="f8a86d88-0edf-469b-b6c3-17028e86f05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f8a86d88-0edf-469b-b6c3-17028e86f05a" xsi:nil="true"/>
    <Dateandtime xmlns="2369e19d-afd5-4c4b-9359-05565a9e7a6e" xsi:nil="true"/>
    <lcf76f155ced4ddcb4097134ff3c332f xmlns="2369e19d-afd5-4c4b-9359-05565a9e7a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084768-75DD-4229-A720-4DCA4A08B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69e19d-afd5-4c4b-9359-05565a9e7a6e"/>
    <ds:schemaRef ds:uri="f8a86d88-0edf-469b-b6c3-17028e86f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680583-B302-4971-B8C7-6D11889903FB}">
  <ds:schemaRefs>
    <ds:schemaRef ds:uri="http://schemas.microsoft.com/sharepoint/v3/contenttype/forms"/>
  </ds:schemaRefs>
</ds:datastoreItem>
</file>

<file path=customXml/itemProps3.xml><?xml version="1.0" encoding="utf-8"?>
<ds:datastoreItem xmlns:ds="http://schemas.openxmlformats.org/officeDocument/2006/customXml" ds:itemID="{E8DC5ED2-3E71-4963-923F-72C98AF4E8FD}">
  <ds:schemaRefs>
    <ds:schemaRef ds:uri="http://schemas.openxmlformats.org/officeDocument/2006/bibliography"/>
  </ds:schemaRefs>
</ds:datastoreItem>
</file>

<file path=customXml/itemProps4.xml><?xml version="1.0" encoding="utf-8"?>
<ds:datastoreItem xmlns:ds="http://schemas.openxmlformats.org/officeDocument/2006/customXml" ds:itemID="{B6C833C4-DCE0-4501-A244-558363662A36}">
  <ds:schemaRefs>
    <ds:schemaRef ds:uri="http://schemas.microsoft.com/office/2006/metadata/properties"/>
    <ds:schemaRef ds:uri="http://schemas.microsoft.com/office/infopath/2007/PartnerControls"/>
    <ds:schemaRef ds:uri="http://schemas.microsoft.com/sharepoint/v3"/>
    <ds:schemaRef ds:uri="f8a86d88-0edf-469b-b6c3-17028e86f05a"/>
    <ds:schemaRef ds:uri="2369e19d-afd5-4c4b-9359-05565a9e7a6e"/>
  </ds:schemaRefs>
</ds:datastoreItem>
</file>

<file path=docProps/app.xml><?xml version="1.0" encoding="utf-8"?>
<Properties xmlns="http://schemas.openxmlformats.org/officeDocument/2006/extended-properties" xmlns:vt="http://schemas.openxmlformats.org/officeDocument/2006/docPropsVTypes">
  <Template>ETC-ACM_report_template (1)</Template>
  <TotalTime>2</TotalTime>
  <Pages>24</Pages>
  <Words>5430</Words>
  <Characters>30955</Characters>
  <Application>Microsoft Office Word</Application>
  <DocSecurity>0</DocSecurity>
  <Lines>257</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ETC technical paper template 2016</dc:subject>
  <dc:creator>Alejandra Bize</dc:creator>
  <cp:lastModifiedBy>Javier Esparrago</cp:lastModifiedBy>
  <cp:revision>25</cp:revision>
  <cp:lastPrinted>2016-02-10T11:17:00Z</cp:lastPrinted>
  <dcterms:created xsi:type="dcterms:W3CDTF">2022-03-02T13:59:00Z</dcterms:created>
  <dcterms:modified xsi:type="dcterms:W3CDTF">2023-05-28T22:49:00Z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0x010100E7D721CA0A481E48AE89AA8256F3CCEC</vt:lpwstr>
  </property>
</Properties>
</file>