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1F" w:rsidRPr="00406D1F" w:rsidRDefault="00406D1F" w:rsidP="00406D1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ANNEX 5 to the Tender Specifications</w:t>
      </w: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pStyle w:val="Heading2"/>
        <w:ind w:right="-694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>PRICE QUOTATION</w:t>
      </w: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ind w:right="-6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must be quoted in EUR and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exclude</w:t>
      </w:r>
      <w:r w:rsidRPr="00406D1F">
        <w:rPr>
          <w:rFonts w:asciiTheme="minorHAnsi" w:hAnsiTheme="minorHAnsi" w:cstheme="minorHAnsi"/>
          <w:sz w:val="22"/>
          <w:szCs w:val="22"/>
        </w:rPr>
        <w:t xml:space="preserve"> VAT </w:t>
      </w:r>
    </w:p>
    <w:p w:rsidR="00406D1F" w:rsidRDefault="00406D1F" w:rsidP="00406D1F">
      <w:pPr>
        <w:numPr>
          <w:ilvl w:val="0"/>
          <w:numId w:val="1"/>
        </w:numPr>
        <w:spacing w:before="120" w:after="12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406D1F">
        <w:rPr>
          <w:rFonts w:asciiTheme="minorHAnsi" w:hAnsiTheme="minorHAnsi" w:cstheme="minorHAnsi"/>
          <w:sz w:val="22"/>
          <w:szCs w:val="22"/>
        </w:rPr>
        <w:t xml:space="preserve">Price shall be </w:t>
      </w:r>
      <w:r w:rsidRPr="00406D1F">
        <w:rPr>
          <w:rFonts w:asciiTheme="minorHAnsi" w:hAnsiTheme="minorHAnsi" w:cstheme="minorHAnsi"/>
          <w:sz w:val="22"/>
          <w:szCs w:val="22"/>
          <w:u w:val="single"/>
        </w:rPr>
        <w:t>all-inclusive</w:t>
      </w:r>
      <w:r w:rsidRPr="00406D1F">
        <w:rPr>
          <w:rFonts w:asciiTheme="minorHAnsi" w:hAnsiTheme="minorHAnsi" w:cstheme="minorHAnsi"/>
          <w:sz w:val="22"/>
          <w:szCs w:val="22"/>
        </w:rPr>
        <w:t xml:space="preserve"> (i.e. include all relevant costs and all expenditure (e.g. project management, quality control, </w:t>
      </w:r>
      <w:r w:rsidR="00B4493B">
        <w:rPr>
          <w:rFonts w:asciiTheme="minorHAnsi" w:hAnsiTheme="minorHAnsi" w:cstheme="minorHAnsi"/>
          <w:sz w:val="22"/>
          <w:szCs w:val="22"/>
        </w:rPr>
        <w:t>tools and materials,</w:t>
      </w:r>
      <w:r w:rsidRPr="00406D1F">
        <w:rPr>
          <w:rFonts w:asciiTheme="minorHAnsi" w:hAnsiTheme="minorHAnsi" w:cstheme="minorHAnsi"/>
          <w:sz w:val="22"/>
          <w:szCs w:val="22"/>
        </w:rPr>
        <w:t xml:space="preserve"> etc...)</w:t>
      </w:r>
      <w:r w:rsidR="00AC7ECE">
        <w:rPr>
          <w:rFonts w:asciiTheme="minorHAnsi" w:hAnsiTheme="minorHAnsi" w:cstheme="minorHAnsi"/>
          <w:sz w:val="22"/>
          <w:szCs w:val="22"/>
        </w:rPr>
        <w:t xml:space="preserve"> with the exception referred to in section 7.2 of the tender specifications as regards consumables</w:t>
      </w:r>
      <w:r w:rsidRPr="00406D1F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413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285"/>
        <w:gridCol w:w="1706"/>
        <w:gridCol w:w="1648"/>
      </w:tblGrid>
      <w:tr w:rsidR="00AC7ECE" w:rsidRPr="00406D1F" w:rsidTr="00AC7ECE">
        <w:tc>
          <w:tcPr>
            <w:tcW w:w="5059" w:type="dxa"/>
            <w:gridSpan w:val="2"/>
            <w:shd w:val="clear" w:color="auto" w:fill="auto"/>
          </w:tcPr>
          <w:p w:rsidR="00AC7ECE" w:rsidRPr="00406D1F" w:rsidRDefault="00AC7ECE" w:rsidP="00430031">
            <w:pPr>
              <w:spacing w:before="120" w:after="120"/>
              <w:ind w:right="-23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Services</w:t>
            </w:r>
          </w:p>
        </w:tc>
        <w:tc>
          <w:tcPr>
            <w:tcW w:w="1706" w:type="dxa"/>
          </w:tcPr>
          <w:p w:rsidR="00AC7ECE" w:rsidRPr="00406D1F" w:rsidRDefault="00AC7ECE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406D1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Price (EUR)</w:t>
            </w:r>
          </w:p>
        </w:tc>
        <w:tc>
          <w:tcPr>
            <w:tcW w:w="1648" w:type="dxa"/>
          </w:tcPr>
          <w:p w:rsidR="00AC7ECE" w:rsidRPr="00406D1F" w:rsidRDefault="00AC7ECE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Weighting</w:t>
            </w:r>
          </w:p>
        </w:tc>
      </w:tr>
      <w:tr w:rsidR="00AC7ECE" w:rsidRPr="00406D1F" w:rsidTr="00AC7ECE">
        <w:tc>
          <w:tcPr>
            <w:tcW w:w="774" w:type="dxa"/>
            <w:shd w:val="clear" w:color="auto" w:fill="auto"/>
          </w:tcPr>
          <w:p w:rsidR="00AC7ECE" w:rsidRPr="00406D1F" w:rsidRDefault="00AC7ECE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1</w:t>
            </w:r>
          </w:p>
          <w:p w:rsidR="00AC7ECE" w:rsidRPr="00406D1F" w:rsidRDefault="00AC7ECE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285" w:type="dxa"/>
            <w:shd w:val="clear" w:color="auto" w:fill="auto"/>
          </w:tcPr>
          <w:p w:rsidR="00AC7ECE" w:rsidRPr="00B4493B" w:rsidRDefault="00AC7ECE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06C28">
              <w:rPr>
                <w:rFonts w:asciiTheme="minorHAnsi" w:hAnsiTheme="minorHAnsi" w:cstheme="minorHAnsi"/>
                <w:b/>
              </w:rPr>
              <w:t xml:space="preserve">Monthly all-inclusive price </w:t>
            </w:r>
            <w:r w:rsidRPr="00C06C28">
              <w:rPr>
                <w:rFonts w:asciiTheme="minorHAnsi" w:hAnsiTheme="minorHAnsi" w:cstheme="minorHAnsi"/>
              </w:rPr>
              <w:t>for performance of all the scheduled services described in annexes 7 and 8 including cleaning supplies and operational material.</w:t>
            </w:r>
          </w:p>
        </w:tc>
        <w:tc>
          <w:tcPr>
            <w:tcW w:w="1706" w:type="dxa"/>
          </w:tcPr>
          <w:p w:rsidR="00AC7ECE" w:rsidRPr="00406D1F" w:rsidRDefault="00AC7ECE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AC7ECE" w:rsidRPr="00406D1F" w:rsidRDefault="00AC7ECE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648" w:type="dxa"/>
            <w:vAlign w:val="center"/>
          </w:tcPr>
          <w:p w:rsidR="00AC7ECE" w:rsidRPr="00406D1F" w:rsidRDefault="00AC7ECE" w:rsidP="00AC7ECE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90%</w:t>
            </w:r>
          </w:p>
        </w:tc>
      </w:tr>
      <w:tr w:rsidR="00AC7ECE" w:rsidRPr="00406D1F" w:rsidTr="00AC7ECE">
        <w:tc>
          <w:tcPr>
            <w:tcW w:w="774" w:type="dxa"/>
            <w:shd w:val="clear" w:color="auto" w:fill="auto"/>
          </w:tcPr>
          <w:p w:rsidR="00AC7ECE" w:rsidRPr="00406D1F" w:rsidRDefault="00AC7ECE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</w:pPr>
            <w:r w:rsidRPr="00406D1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</w:t>
            </w:r>
            <w:r w:rsidRPr="00406D1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GB"/>
              </w:rPr>
              <w:t>2</w:t>
            </w:r>
          </w:p>
          <w:p w:rsidR="00AC7ECE" w:rsidRPr="00406D1F" w:rsidRDefault="00AC7ECE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285" w:type="dxa"/>
            <w:shd w:val="clear" w:color="auto" w:fill="auto"/>
          </w:tcPr>
          <w:p w:rsidR="00AC7ECE" w:rsidRPr="00B4493B" w:rsidRDefault="00AC7ECE" w:rsidP="00B4493B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C06C28">
              <w:rPr>
                <w:rFonts w:asciiTheme="minorHAnsi" w:hAnsiTheme="minorHAnsi" w:cstheme="minorHAnsi"/>
                <w:b/>
              </w:rPr>
              <w:t>Hourly all-inclusive price</w:t>
            </w:r>
            <w:r w:rsidRPr="00C06C28">
              <w:rPr>
                <w:rFonts w:asciiTheme="minorHAnsi" w:hAnsiTheme="minorHAnsi" w:cstheme="minorHAnsi"/>
              </w:rPr>
              <w:t xml:space="preserve"> per person and per hour worked for performance of additional cleaning or dishwashing tasks requested by the EEA project manager.</w:t>
            </w:r>
          </w:p>
        </w:tc>
        <w:tc>
          <w:tcPr>
            <w:tcW w:w="1706" w:type="dxa"/>
          </w:tcPr>
          <w:p w:rsidR="00AC7ECE" w:rsidRPr="00406D1F" w:rsidRDefault="00AC7ECE" w:rsidP="00430031">
            <w:pPr>
              <w:spacing w:before="120" w:after="120"/>
              <w:ind w:right="-23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AC7ECE" w:rsidRPr="00406D1F" w:rsidRDefault="00AC7ECE" w:rsidP="00430031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648" w:type="dxa"/>
            <w:vAlign w:val="center"/>
          </w:tcPr>
          <w:p w:rsidR="00AC7ECE" w:rsidRPr="00406D1F" w:rsidRDefault="00AC7ECE" w:rsidP="00AC7ECE">
            <w:pPr>
              <w:spacing w:before="120" w:after="120"/>
              <w:ind w:right="-23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10%</w:t>
            </w:r>
          </w:p>
        </w:tc>
      </w:tr>
    </w:tbl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75263B" w:rsidP="00406D1F">
      <w:pPr>
        <w:rPr>
          <w:rFonts w:asciiTheme="minorHAnsi" w:hAnsiTheme="minorHAnsi" w:cstheme="minorHAnsi"/>
          <w:b/>
          <w:sz w:val="22"/>
          <w:szCs w:val="22"/>
        </w:rPr>
      </w:pPr>
      <w:r w:rsidRPr="0075263B">
        <w:rPr>
          <w:rFonts w:asciiTheme="minorHAnsi" w:hAnsiTheme="minorHAnsi" w:cstheme="minorHAnsi"/>
          <w:b/>
          <w:sz w:val="22"/>
          <w:szCs w:val="22"/>
        </w:rPr>
        <w:t>The percentage for each price offer shows the relative weight when awarding points for price.</w:t>
      </w:r>
    </w:p>
    <w:p w:rsidR="00406D1F" w:rsidRPr="00406D1F" w:rsidRDefault="002C6579" w:rsidP="00406D1F">
      <w:pPr>
        <w:spacing w:before="120" w:after="120"/>
        <w:jc w:val="center"/>
        <w:rPr>
          <w:rStyle w:val="BodyChar"/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Both</w:t>
      </w:r>
      <w:bookmarkStart w:id="0" w:name="_GoBack"/>
      <w:bookmarkEnd w:id="0"/>
      <w:r w:rsidR="00406D1F" w:rsidRPr="00406D1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fields are compulsory, non-compliance will lead to exclusion</w:t>
      </w:r>
      <w:r w:rsidR="00406D1F" w:rsidRPr="00406D1F">
        <w:rPr>
          <w:rFonts w:asciiTheme="minorHAnsi" w:hAnsiTheme="minorHAnsi" w:cstheme="minorHAnsi"/>
          <w:bCs/>
          <w:iCs/>
          <w:sz w:val="22"/>
          <w:szCs w:val="22"/>
          <w:lang w:eastAsia="en-GB"/>
        </w:rPr>
        <w:t>.</w:t>
      </w:r>
    </w:p>
    <w:p w:rsidR="00406D1F" w:rsidRPr="00406D1F" w:rsidRDefault="00406D1F" w:rsidP="00406D1F">
      <w:pPr>
        <w:rPr>
          <w:rFonts w:asciiTheme="minorHAnsi" w:hAnsiTheme="minorHAnsi" w:cstheme="minorHAnsi"/>
          <w:b/>
          <w:sz w:val="22"/>
          <w:szCs w:val="22"/>
        </w:rPr>
      </w:pPr>
    </w:p>
    <w:p w:rsidR="00406D1F" w:rsidRPr="00406D1F" w:rsidRDefault="00406D1F" w:rsidP="00406D1F">
      <w:pPr>
        <w:rPr>
          <w:rFonts w:asciiTheme="minorHAnsi" w:hAnsiTheme="minorHAnsi" w:cstheme="minorHAnsi"/>
          <w:sz w:val="22"/>
          <w:szCs w:val="22"/>
        </w:rPr>
      </w:pPr>
    </w:p>
    <w:p w:rsidR="00D97C2A" w:rsidRPr="00406D1F" w:rsidRDefault="00D97C2A">
      <w:pPr>
        <w:rPr>
          <w:rFonts w:asciiTheme="minorHAnsi" w:hAnsiTheme="minorHAnsi" w:cstheme="minorHAnsi"/>
          <w:sz w:val="22"/>
          <w:szCs w:val="22"/>
        </w:rPr>
      </w:pPr>
    </w:p>
    <w:sectPr w:rsidR="00D97C2A" w:rsidRPr="00406D1F" w:rsidSect="009D1250">
      <w:head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1F" w:rsidRDefault="00406D1F" w:rsidP="00406D1F">
      <w:r>
        <w:separator/>
      </w:r>
    </w:p>
  </w:endnote>
  <w:endnote w:type="continuationSeparator" w:id="0">
    <w:p w:rsidR="00406D1F" w:rsidRDefault="00406D1F" w:rsidP="004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1F" w:rsidRDefault="00406D1F" w:rsidP="00406D1F">
      <w:r>
        <w:separator/>
      </w:r>
    </w:p>
  </w:footnote>
  <w:footnote w:type="continuationSeparator" w:id="0">
    <w:p w:rsidR="00406D1F" w:rsidRDefault="00406D1F" w:rsidP="0040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9" w:type="dxa"/>
      <w:tblInd w:w="-535" w:type="dxa"/>
      <w:tblLook w:val="01E0" w:firstRow="1" w:lastRow="1" w:firstColumn="1" w:lastColumn="1" w:noHBand="0" w:noVBand="0"/>
    </w:tblPr>
    <w:tblGrid>
      <w:gridCol w:w="4440"/>
      <w:gridCol w:w="4959"/>
    </w:tblGrid>
    <w:tr w:rsidR="001E7FB4" w:rsidTr="00463872">
      <w:tc>
        <w:tcPr>
          <w:tcW w:w="4440" w:type="dxa"/>
          <w:shd w:val="clear" w:color="auto" w:fill="auto"/>
        </w:tcPr>
        <w:p w:rsidR="001E7FB4" w:rsidRPr="00406D1F" w:rsidRDefault="00650BDE" w:rsidP="00C06C28">
          <w:pPr>
            <w:pStyle w:val="Header"/>
            <w:spacing w:before="280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Open call No. EEA/</w:t>
          </w:r>
          <w:r w:rsidR="00A95B1F">
            <w:rPr>
              <w:rFonts w:asciiTheme="minorHAnsi" w:hAnsiTheme="minorHAnsi" w:cstheme="minorHAnsi"/>
              <w:b/>
              <w:sz w:val="22"/>
              <w:szCs w:val="22"/>
            </w:rPr>
            <w:t>OSE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/1</w:t>
          </w:r>
          <w:r w:rsidR="00B4493B">
            <w:rPr>
              <w:rFonts w:asciiTheme="minorHAnsi" w:hAnsiTheme="minorHAnsi" w:cstheme="minorHAnsi"/>
              <w:b/>
              <w:sz w:val="22"/>
              <w:szCs w:val="22"/>
            </w:rPr>
            <w:t>4</w:t>
          </w:r>
          <w:r w:rsidRPr="00406D1F">
            <w:rPr>
              <w:rFonts w:asciiTheme="minorHAnsi" w:hAnsiTheme="minorHAnsi" w:cstheme="minorHAnsi"/>
              <w:b/>
              <w:sz w:val="22"/>
              <w:szCs w:val="22"/>
            </w:rPr>
            <w:t>/00</w:t>
          </w:r>
          <w:r w:rsidR="00C06C28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4959" w:type="dxa"/>
          <w:shd w:val="clear" w:color="auto" w:fill="auto"/>
        </w:tcPr>
        <w:p w:rsidR="001E7FB4" w:rsidRDefault="00650BDE" w:rsidP="00141AB7">
          <w:pPr>
            <w:pStyle w:val="Header"/>
          </w:pPr>
          <w:r w:rsidRPr="00463872">
            <w:rPr>
              <w:rFonts w:ascii="Arial" w:hAnsi="Arial" w:cs="Arial"/>
              <w:b/>
              <w:bCs/>
              <w:kern w:val="32"/>
              <w:sz w:val="32"/>
              <w:szCs w:val="32"/>
            </w:rPr>
            <w:t xml:space="preserve">           </w:t>
          </w:r>
          <w:r w:rsidR="00406D1F"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>
                <wp:extent cx="2289810" cy="469265"/>
                <wp:effectExtent l="0" t="0" r="0" b="6985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FB4" w:rsidRDefault="002C6579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579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6D1F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069DF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0BDE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263B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1EB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1FD7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5B1F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C7ECE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493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12AF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06C28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397F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2713A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48B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D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6D1F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4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6D1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406D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06D1F"/>
    <w:rPr>
      <w:sz w:val="24"/>
      <w:szCs w:val="24"/>
      <w:lang w:eastAsia="en-US"/>
    </w:rPr>
  </w:style>
  <w:style w:type="paragraph" w:customStyle="1" w:styleId="Body">
    <w:name w:val="Body"/>
    <w:link w:val="BodyChar"/>
    <w:rsid w:val="00406D1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406D1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6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D1F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406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06D1F"/>
    <w:rPr>
      <w:sz w:val="24"/>
      <w:szCs w:val="24"/>
      <w:lang w:eastAsia="en-US"/>
    </w:rPr>
  </w:style>
  <w:style w:type="paragraph" w:customStyle="1" w:styleId="Default">
    <w:name w:val="Default"/>
    <w:rsid w:val="00B4493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4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44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eeauser</cp:lastModifiedBy>
  <cp:revision>10</cp:revision>
  <cp:lastPrinted>2014-04-22T15:40:00Z</cp:lastPrinted>
  <dcterms:created xsi:type="dcterms:W3CDTF">2013-03-27T10:36:00Z</dcterms:created>
  <dcterms:modified xsi:type="dcterms:W3CDTF">2014-04-25T13:44:00Z</dcterms:modified>
</cp:coreProperties>
</file>